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B985" w14:textId="77777777" w:rsidR="00D07766" w:rsidRDefault="002F75E5">
      <w:pPr>
        <w:pStyle w:val="Title"/>
      </w:pPr>
      <w:r>
        <w:t xml:space="preserve">Seção</w:t>
      </w:r>
      <w:r>
        <w:rPr>
          <w:spacing w:val="-7"/>
        </w:rPr>
        <w:t xml:space="preserve"> </w:t>
      </w:r>
      <w:r>
        <w:t xml:space="preserve">237413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UNIDADES DE TRATAMENTO DE AR ​​CONDICIONADO, EXTERIOR, DE ESTAÇÃO CENTRAL</w:t>
      </w:r>
    </w:p>
    <w:p w14:paraId="31CAF66A" w14:textId="77777777" w:rsidR="00D07766" w:rsidRDefault="00D07766">
      <w:pPr>
        <w:pStyle w:val="BodyText"/>
        <w:spacing w:before="8"/>
        <w:ind w:left="0"/>
        <w:rPr>
          <w:b/>
          <w:sz w:val="11"/>
        </w:rPr>
      </w:pPr>
    </w:p>
    <w:p w14:paraId="525C04D7" w14:textId="77777777" w:rsidR="00D07766" w:rsidRDefault="002F75E5">
      <w:pPr>
        <w:pStyle w:val="BodyText"/>
        <w:tabs>
          <w:tab w:val="left" w:pos="8769"/>
        </w:tabs>
        <w:spacing w:before="94"/>
        <w:ind w:left="100"/>
      </w:pPr>
      <w:r>
        <w:rPr>
          <w:color w:val="000000"/>
          <w:shd w:val="clear" w:color="auto" w:fill="CCCCCC"/>
        </w:rPr>
        <w:t xml:space="preserve">O seguinte substitui os parágrafos 2.10.C.11</w:t>
      </w:r>
      <w:r>
        <w:rPr>
          <w:color w:val="000000"/>
          <w:spacing w:val="-5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 xml:space="preserve">e</w:t>
      </w:r>
      <w:r>
        <w:rPr>
          <w:color w:val="000000"/>
          <w:spacing w:val="-5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 xml:space="preserve">2.10.C.12.</w:t>
      </w:r>
      <w:r>
        <w:rPr>
          <w:color w:val="000000"/>
          <w:shd w:val="clear" w:color="auto" w:fill="CCCCCC"/>
        </w:rPr>
        <w:tab/>
      </w:r>
    </w:p>
    <w:p w14:paraId="2F329F1F" w14:textId="77777777" w:rsidR="00D07766" w:rsidRDefault="00D07766">
      <w:pPr>
        <w:pStyle w:val="BodyText"/>
        <w:spacing w:before="1"/>
        <w:ind w:left="0"/>
      </w:pPr>
    </w:p>
    <w:p w14:paraId="440F3B22" w14:textId="77777777" w:rsidR="00D07766" w:rsidRDefault="002F75E5">
      <w:pPr>
        <w:pStyle w:val="BodyText"/>
        <w:tabs>
          <w:tab w:val="left" w:pos="819"/>
        </w:tabs>
        <w:ind w:left="100"/>
      </w:pPr>
      <w:r>
        <w:rPr>
          <w:spacing w:val="-4"/>
        </w:rPr>
        <w:t xml:space="preserve">2.10</w:t>
      </w:r>
      <w:r>
        <w:tab/>
      </w:r>
      <w:r>
        <w:rPr>
          <w:spacing w:val="-2"/>
        </w:rPr>
        <w:t xml:space="preserve">CONTROLES</w:t>
      </w:r>
    </w:p>
    <w:p w14:paraId="175C5D26" w14:textId="77777777" w:rsidR="00D07766" w:rsidRDefault="00D07766">
      <w:pPr>
        <w:pStyle w:val="BodyText"/>
        <w:spacing w:before="11"/>
        <w:ind w:left="0"/>
        <w:rPr>
          <w:sz w:val="19"/>
        </w:rPr>
      </w:pPr>
    </w:p>
    <w:p w14:paraId="4D6E2D75" w14:textId="77777777" w:rsidR="00D07766" w:rsidRDefault="002F75E5">
      <w:pPr>
        <w:pStyle w:val="ListParagraph"/>
        <w:numPr>
          <w:ilvl w:val="0"/>
          <w:numId w:val="3"/>
        </w:numPr>
        <w:tabs>
          <w:tab w:val="left" w:pos="1181"/>
        </w:tabs>
        <w:ind w:hanging="362"/>
        <w:rPr>
          <w:sz w:val="20"/>
        </w:rPr>
      </w:pPr>
      <w:r>
        <w:rPr>
          <w:spacing w:val="-2"/>
          <w:sz w:val="20"/>
        </w:rPr>
        <w:t xml:space="preserve">Controlador</w:t>
      </w:r>
    </w:p>
    <w:p w14:paraId="16D2B341" w14:textId="77777777" w:rsidR="00D07766" w:rsidRDefault="00D07766">
      <w:pPr>
        <w:pStyle w:val="BodyText"/>
        <w:spacing w:before="11"/>
        <w:ind w:left="0"/>
        <w:rPr>
          <w:sz w:val="19"/>
        </w:rPr>
      </w:pPr>
    </w:p>
    <w:p w14:paraId="2C337E9C" w14:textId="77777777" w:rsidR="00D07766" w:rsidRDefault="002F75E5">
      <w:pPr>
        <w:pStyle w:val="ListParagraph"/>
        <w:numPr>
          <w:ilvl w:val="1"/>
          <w:numId w:val="3"/>
        </w:numPr>
        <w:tabs>
          <w:tab w:val="left" w:pos="1451"/>
        </w:tabs>
        <w:ind w:hanging="362"/>
        <w:rPr>
          <w:sz w:val="20"/>
        </w:rPr>
      </w:pPr>
      <w:r>
        <w:rPr>
          <w:sz w:val="20"/>
        </w:rPr>
        <w:t xml:space="preserve">Operação do damper de controle de ar exterior do economizador</w:t>
      </w:r>
      <w:r>
        <w:rPr>
          <w:spacing w:val="-2"/>
          <w:sz w:val="20"/>
        </w:rPr>
        <w:t xml:space="preserve">:</w:t>
      </w:r>
    </w:p>
    <w:p w14:paraId="4E8CF0C7" w14:textId="77777777" w:rsidR="00D07766" w:rsidRDefault="00D07766">
      <w:pPr>
        <w:pStyle w:val="BodyText"/>
        <w:ind w:left="0"/>
      </w:pPr>
    </w:p>
    <w:p w14:paraId="0FFDCE6C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0"/>
        </w:tabs>
        <w:ind w:hanging="361"/>
        <w:jc w:val="both"/>
        <w:rPr>
          <w:sz w:val="20"/>
        </w:rPr>
      </w:pPr>
      <w:r>
        <w:rPr>
          <w:sz w:val="20"/>
        </w:rPr>
        <w:t xml:space="preserve">Fabricados, identificados com a marca, ou distribuídos pela BELIMO.</w:t>
      </w:r>
    </w:p>
    <w:p w14:paraId="16E4CDB1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1"/>
        </w:tabs>
        <w:ind w:right="684"/>
        <w:jc w:val="both"/>
        <w:rPr>
          <w:sz w:val="20"/>
        </w:rPr>
      </w:pPr>
      <w:r>
        <w:rPr>
          <w:sz w:val="20"/>
        </w:rPr>
        <w:t xml:space="preserve">O economizador deve ser compatível com a estratégia de controle de bulbo seco único, bulbo seco diferencial, entalpia simples ou entalpia diferencial, conforme necessário, de acordo com a ASHRAE</w:t>
      </w:r>
    </w:p>
    <w:p w14:paraId="62B3CB93" w14:textId="77777777" w:rsidR="00D07766" w:rsidRDefault="002F75E5">
      <w:pPr>
        <w:pStyle w:val="BodyText"/>
        <w:spacing w:line="230" w:lineRule="exact"/>
        <w:jc w:val="both"/>
      </w:pPr>
      <w:r>
        <w:t xml:space="preserve">90.1.</w:t>
      </w:r>
      <w:r>
        <w:rPr>
          <w:spacing w:val="-6"/>
        </w:rPr>
        <w:t xml:space="preserve"> </w:t>
      </w:r>
      <w:r>
        <w:t xml:space="preserve">Os dispositivos sensores não devem ser de fornecedores exclusivos</w:t>
      </w:r>
      <w:r>
        <w:rPr>
          <w:spacing w:val="-2"/>
        </w:rPr>
        <w:t xml:space="preserve">.</w:t>
      </w:r>
    </w:p>
    <w:p w14:paraId="2695C329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0"/>
        </w:tabs>
        <w:spacing w:before="1"/>
        <w:ind w:right="607"/>
        <w:jc w:val="both"/>
        <w:rPr>
          <w:sz w:val="20"/>
        </w:rPr>
      </w:pPr>
      <w:r>
        <w:rPr>
          <w:sz w:val="20"/>
        </w:rPr>
        <w:t xml:space="preserve">A seleção da zona climática ASHRAE para configuração de limite alto deve ser feita através da entrada do CEP do local de instalação através do MMI sem o uso de documentação impressa.</w:t>
      </w:r>
    </w:p>
    <w:p w14:paraId="5A6CBFEE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0"/>
        </w:tabs>
        <w:ind w:right="795"/>
        <w:jc w:val="left"/>
        <w:rPr>
          <w:sz w:val="20"/>
        </w:rPr>
      </w:pPr>
      <w:r>
        <w:rPr>
          <w:sz w:val="20"/>
        </w:rPr>
        <w:t xml:space="preserve">O dispositivo deve incorporar proteção contra semiblecaute, que impedirá que os compressores operem em condições de baixa tensão enquanto permanecem no controle.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Após a inicialização de uma condição de semiblecaute ou de blecaute, a unidade deve fornecer uma ativação aleatória automática para evitar sobretensão elétrica devido à inicialização de vários compressores.</w:t>
      </w:r>
    </w:p>
    <w:p w14:paraId="190BE49B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1"/>
        </w:tabs>
        <w:ind w:right="563" w:hanging="361"/>
        <w:jc w:val="left"/>
        <w:rPr>
          <w:sz w:val="20"/>
        </w:rPr>
      </w:pPr>
      <w:r>
        <w:rPr>
          <w:sz w:val="20"/>
        </w:rPr>
        <w:t xml:space="preserve">Os alarmes para detecção e diagnóstico de falhas devem ser sinalizados por um indicador LED visual e uma descrição de texto acessível através do MMI.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Os alarmes atuais e anteriores (incluindo o tempo decorrido desde a ocorrência) devem ser acessíveis através do MMI.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 caso de falha do sensor, o economizador deve detectar automaticamente a sequência adequada do economizador para manter o controle.</w:t>
      </w:r>
    </w:p>
    <w:p w14:paraId="784DCB4C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0"/>
          <w:tab w:val="left" w:pos="1901"/>
        </w:tabs>
        <w:ind w:right="974"/>
        <w:jc w:val="left"/>
        <w:rPr>
          <w:sz w:val="20"/>
        </w:rPr>
      </w:pPr>
      <w:r>
        <w:rPr>
          <w:sz w:val="20"/>
        </w:rPr>
        <w:t xml:space="preserve">O dispositivo deve estar em conformidade com a versão mais recente dos seguintes códigos de energia: ASHRAE 90.1, CA Título 24 e NECB.</w:t>
      </w:r>
    </w:p>
    <w:p w14:paraId="5B7D1D44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1"/>
        </w:tabs>
        <w:ind w:right="651"/>
        <w:jc w:val="left"/>
        <w:rPr>
          <w:sz w:val="20"/>
        </w:rPr>
      </w:pPr>
      <w:r>
        <w:rPr>
          <w:sz w:val="20"/>
        </w:rPr>
        <w:t xml:space="preserve">O fabricante deverá garantir todos os componentes por um período de 5 anos a contar da data de produção, sendo os dois primeiros anos incondicionais.</w:t>
      </w:r>
    </w:p>
    <w:p w14:paraId="69D8A0E1" w14:textId="77777777" w:rsidR="00D07766" w:rsidRDefault="002F75E5">
      <w:pPr>
        <w:pStyle w:val="ListParagraph"/>
        <w:numPr>
          <w:ilvl w:val="2"/>
          <w:numId w:val="3"/>
        </w:numPr>
        <w:tabs>
          <w:tab w:val="left" w:pos="1901"/>
        </w:tabs>
        <w:spacing w:line="230" w:lineRule="exact"/>
        <w:ind w:left="1900" w:hanging="362"/>
        <w:jc w:val="left"/>
        <w:rPr>
          <w:sz w:val="20"/>
        </w:rPr>
      </w:pPr>
      <w:r>
        <w:rPr>
          <w:sz w:val="20"/>
        </w:rPr>
        <w:t xml:space="preserve">Períodos ocupados</w:t>
      </w:r>
      <w:r>
        <w:rPr>
          <w:spacing w:val="-2"/>
          <w:sz w:val="20"/>
        </w:rPr>
        <w:t xml:space="preserve">.</w:t>
      </w:r>
    </w:p>
    <w:p w14:paraId="36A0B626" w14:textId="77777777" w:rsidR="00D07766" w:rsidRDefault="002F75E5">
      <w:pPr>
        <w:pStyle w:val="ListParagraph"/>
        <w:numPr>
          <w:ilvl w:val="2"/>
          <w:numId w:val="3"/>
        </w:numPr>
        <w:tabs>
          <w:tab w:val="left" w:pos="2621"/>
        </w:tabs>
        <w:ind w:left="2619" w:right="500" w:hanging="280"/>
        <w:jc w:val="left"/>
        <w:rPr>
          <w:sz w:val="20"/>
        </w:rPr>
      </w:pPr>
      <w:r>
        <w:rPr>
          <w:sz w:val="20"/>
        </w:rPr>
        <w:t xml:space="preserve">Aberto a </w:t>
      </w:r>
      <w:r>
        <w:rPr>
          <w:b/>
          <w:sz w:val="20"/>
        </w:rPr>
        <w:t xml:space="preserve">[10] [25] &lt;inserir porcentagem&gt;%</w:t>
      </w:r>
      <w:r>
        <w:rPr>
          <w:sz w:val="20"/>
        </w:rPr>
        <w:t xml:space="preserve"> de admissão mínima fixa e no máximo 100% da capacidade do ventilador para estar em conformidade com a ASHRAE 90.1. O controlador deve permitir a operação do economizador do lado do ar quando o ar externo estiver abaixo da temperatura/entalpia do ar externo, conforme determinado ao inserir o CEP do local de instalação no display integrado.</w:t>
      </w:r>
    </w:p>
    <w:p w14:paraId="4E78A48C" w14:textId="77777777" w:rsidR="00D07766" w:rsidRDefault="002F75E5">
      <w:pPr>
        <w:pStyle w:val="ListParagraph"/>
        <w:numPr>
          <w:ilvl w:val="0"/>
          <w:numId w:val="2"/>
        </w:numPr>
        <w:tabs>
          <w:tab w:val="left" w:pos="2621"/>
        </w:tabs>
        <w:ind w:right="621" w:hanging="324"/>
        <w:rPr>
          <w:sz w:val="20"/>
        </w:rPr>
      </w:pPr>
      <w:r>
        <w:rPr>
          <w:sz w:val="20"/>
        </w:rPr>
        <w:t xml:space="preserve">Os dampers do economizador devem poder ser sequenciados com o sistema de resfriamento mecânico e capazes de fornecer uma carga de refrigeração parcial com o resfriamento mecânico.</w:t>
      </w:r>
    </w:p>
    <w:p w14:paraId="054D7969" w14:textId="77777777" w:rsidR="00D07766" w:rsidRDefault="002F75E5">
      <w:pPr>
        <w:pStyle w:val="ListParagraph"/>
        <w:numPr>
          <w:ilvl w:val="0"/>
          <w:numId w:val="2"/>
        </w:numPr>
        <w:tabs>
          <w:tab w:val="left" w:pos="2620"/>
        </w:tabs>
        <w:spacing w:before="1"/>
        <w:ind w:right="475" w:hanging="369"/>
        <w:rPr>
          <w:sz w:val="20"/>
        </w:rPr>
      </w:pPr>
      <w:r>
        <w:rPr>
          <w:sz w:val="20"/>
        </w:rPr>
        <w:t xml:space="preserve">A posição mínima de admissão de ar exterior deve reduzir automaticamente ao atingir um valor de referência de limite alto predeterminado.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Quando o ar externo estiver 100% e o resfriamento mecânico estiver ativado, o damper de controle de ar exterior deverá fechar para reduzir as condições de congelamento, se necessário.</w:t>
      </w:r>
    </w:p>
    <w:p w14:paraId="08376FDD" w14:textId="77777777" w:rsidR="00D07766" w:rsidRDefault="002F75E5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29" w:lineRule="exact"/>
        <w:ind w:hanging="362"/>
        <w:rPr>
          <w:sz w:val="20"/>
        </w:rPr>
      </w:pPr>
      <w:r>
        <w:rPr>
          <w:sz w:val="20"/>
        </w:rPr>
        <w:t xml:space="preserve">Períodos desocupados</w:t>
      </w:r>
      <w:r>
        <w:rPr>
          <w:spacing w:val="-2"/>
          <w:sz w:val="20"/>
        </w:rPr>
        <w:t xml:space="preserve">.</w:t>
      </w:r>
    </w:p>
    <w:p w14:paraId="51CB2609" w14:textId="77777777" w:rsidR="00D07766" w:rsidRDefault="002F75E5">
      <w:pPr>
        <w:pStyle w:val="ListParagraph"/>
        <w:numPr>
          <w:ilvl w:val="1"/>
          <w:numId w:val="1"/>
        </w:numPr>
        <w:tabs>
          <w:tab w:val="left" w:pos="2621"/>
        </w:tabs>
        <w:rPr>
          <w:sz w:val="20"/>
        </w:rPr>
      </w:pPr>
      <w:r>
        <w:rPr>
          <w:sz w:val="20"/>
        </w:rPr>
        <w:t xml:space="preserve">Feche o damper de controle de ar exterior e abra o damper de controle de ar de circulação.</w:t>
      </w:r>
    </w:p>
    <w:p w14:paraId="797EFC4F" w14:textId="77777777" w:rsidR="00D07766" w:rsidRDefault="002F75E5">
      <w:pPr>
        <w:pStyle w:val="ListParagraph"/>
        <w:numPr>
          <w:ilvl w:val="2"/>
          <w:numId w:val="3"/>
        </w:numPr>
        <w:tabs>
          <w:tab w:val="left" w:pos="1899"/>
          <w:tab w:val="left" w:pos="1900"/>
        </w:tabs>
        <w:spacing w:before="2" w:line="230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[Operação do sensor de dióxido de carbono</w:t>
      </w:r>
      <w:r>
        <w:rPr>
          <w:b/>
          <w:spacing w:val="-2"/>
          <w:sz w:val="20"/>
        </w:rPr>
        <w:t xml:space="preserve">.</w:t>
      </w:r>
    </w:p>
    <w:p w14:paraId="17A26920" w14:textId="77777777" w:rsidR="00D07766" w:rsidRDefault="002F75E5">
      <w:pPr>
        <w:pStyle w:val="ListParagraph"/>
        <w:numPr>
          <w:ilvl w:val="3"/>
          <w:numId w:val="3"/>
        </w:numPr>
        <w:tabs>
          <w:tab w:val="left" w:pos="2620"/>
        </w:tabs>
        <w:ind w:right="758"/>
        <w:rPr>
          <w:b/>
          <w:sz w:val="20"/>
        </w:rPr>
      </w:pPr>
      <w:r>
        <w:rPr>
          <w:b/>
          <w:sz w:val="20"/>
        </w:rPr>
        <w:t xml:space="preserve">Períodos ocupados.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Reiniciar o ar externo mínimo para no mínimo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[10]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&lt;inserir porcentagem&gt;% para manter a concentração máxima, conforme a ASHRAE 90.1</w:t>
      </w:r>
    </w:p>
    <w:p w14:paraId="4CA79F01" w14:textId="77777777" w:rsidR="00D07766" w:rsidRDefault="00D07766">
      <w:pPr>
        <w:rPr>
          <w:sz w:val="20"/>
        </w:rPr>
        <w:sectPr w:rsidR="00D077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00" w:right="1720" w:bottom="880" w:left="1340" w:header="545" w:footer="686" w:gutter="0"/>
          <w:pgNumType w:start="10"/>
          <w:cols w:space="720"/>
        </w:sectPr>
      </w:pPr>
    </w:p>
    <w:p w14:paraId="558BD3E9" w14:textId="77777777" w:rsidR="00D07766" w:rsidRDefault="002F75E5">
      <w:pPr>
        <w:pStyle w:val="ListParagraph"/>
        <w:numPr>
          <w:ilvl w:val="3"/>
          <w:numId w:val="3"/>
        </w:numPr>
        <w:tabs>
          <w:tab w:val="left" w:pos="2621"/>
        </w:tabs>
        <w:spacing w:before="84"/>
        <w:ind w:right="1067" w:hanging="347"/>
        <w:rPr>
          <w:b/>
          <w:sz w:val="20"/>
        </w:rPr>
      </w:pPr>
      <w:r>
        <w:rPr>
          <w:b/>
          <w:sz w:val="20"/>
        </w:rPr>
        <w:t xml:space="preserve">Períodos desocupados:</w:t>
      </w:r>
      <w:r>
        <w:rPr>
          <w:b/>
          <w:spacing w:val="40"/>
          <w:sz w:val="20"/>
        </w:rPr>
        <w:t xml:space="preserve"> f</w:t>
      </w:r>
      <w:r>
        <w:rPr>
          <w:b/>
          <w:sz w:val="20"/>
        </w:rPr>
        <w:t xml:space="preserve">eche o damper de controle de ar exterior e abra o damper de controle de ar de circulação.]</w:t>
      </w:r>
    </w:p>
    <w:sectPr w:rsidR="00D07766">
      <w:pgSz w:w="12240" w:h="15840"/>
      <w:pgMar w:top="1700" w:right="1720" w:bottom="880" w:left="1340" w:header="545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D316" w14:textId="77777777" w:rsidR="002F75E5" w:rsidRDefault="002F75E5">
      <w:r>
        <w:separator/>
      </w:r>
    </w:p>
  </w:endnote>
  <w:endnote w:type="continuationSeparator" w:id="0">
    <w:p w14:paraId="21F43436" w14:textId="77777777" w:rsidR="002F75E5" w:rsidRDefault="002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5CB3" w14:textId="77777777" w:rsidR="00F90CE4" w:rsidRDefault="00F90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3B9E" w14:textId="6EC40EA2" w:rsidR="00D07766" w:rsidRDefault="00F90CE4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43A3ACA7" wp14:editId="172E857F">
              <wp:simplePos x="0" y="0"/>
              <wp:positionH relativeFrom="page">
                <wp:posOffset>901700</wp:posOffset>
              </wp:positionH>
              <wp:positionV relativeFrom="page">
                <wp:posOffset>9483090</wp:posOffset>
              </wp:positionV>
              <wp:extent cx="1797685" cy="1651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E36E" w14:textId="77777777" w:rsidR="00D07766" w:rsidRDefault="002F75E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2018</w:t>
                          </w:r>
                          <w:r>
                            <w:rPr>
                              <w:rFonts w:ascii="Arial" w:hAns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MasterFormat</w:t>
                          </w:r>
                          <w:r>
                            <w:rPr>
                              <w:rFonts w:ascii="Arial" w:hAns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(FEV</w:t>
                          </w:r>
                          <w:r>
                            <w:rPr>
                              <w:rFonts w:ascii="Arial" w:hAns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2018)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3AC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6.7pt;width:141.55pt;height:13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3g1wEAAJEDAAAOAAAAZHJzL2Uyb0RvYy54bWysU9tu2zAMfR+wfxD0vtgu0LQz4hRdiw4D&#10;uq1Atw9QZMk2ZosaqcTOvn6UHKe7vA17ESiJOjznkNrcTEMvDgapA1fJYpVLYZyGunNNJb9+eXhz&#10;LQUF5WrVgzOVPBqSN9vXrzajL80FtNDXBgWDOCpHX8k2BF9mGenWDIpW4I3jSws4qMBbbLIa1cjo&#10;Q59d5Pk6GwFrj6ANEZ/ez5dym/CtNTp8tpZMEH0lmVtIK6Z1F9dsu1Flg8q3nT7RUP/AYlCd46Jn&#10;qHsVlNhj9xfU0GkEAhtWGoYMrO20SRpYTZH/oea5Vd4kLWwO+bNN9P9g9afDs39CEaZ3MHEDkwjy&#10;j6C/kXBw1yrXmFtEGFujai5cRMuy0VN5ehqtppIiyG78CDU3We0DJKDJ4hBdYZ2C0bkBx7PpZgpC&#10;x5JXb6/W15dSaL4r1pdFnrqSqXJ57ZHCewODiEElkZua0NXhkUJko8olJRZz8ND1fWps73474MR4&#10;kthHwjP1MO0mzo4qdlAfWQfCPCc81xy0gD+kGHlGKknf9wqNFP0Hx17EgVoCXILdEiin+WklgxRz&#10;eBfmwdt77JqWkWe3HdyyX7ZLUl5YnHhy35PC04zGwfp1n7JeftL2JwAAAP//AwBQSwMEFAAGAAgA&#10;AAAhAGfEnJjiAAAADQEAAA8AAABkcnMvZG93bnJldi54bWxMj8FOwzAQRO9I/IO1lbhRJyGtSBqn&#10;qhCckBBpOHB0YjexGq9D7Lbh79meym1ndzT7ptjOdmBnPXnjUEC8jIBpbJ0y2An4qt8en4H5IFHJ&#10;waEW8Ks9bMv7u0Lmyl2w0ud96BiFoM+lgD6EMefct7220i/dqJFuBzdZGUhOHVeTvFC4HXgSRWtu&#10;pUH60MtRv/S6Pe5PVsDuG6tX8/PRfFaHytR1FuH7+ijEw2LebYAFPYebGa74hA4lMTXuhMqzgXSa&#10;UJdwHbKnFBhZ0mQVA2totYqzFHhZ8P8tyj8AAAD//wMAUEsBAi0AFAAGAAgAAAAhALaDOJL+AAAA&#10;4QEAABMAAAAAAAAAAAAAAAAAAAAAAFtDb250ZW50X1R5cGVzXS54bWxQSwECLQAUAAYACAAAACEA&#10;OP0h/9YAAACUAQAACwAAAAAAAAAAAAAAAAAvAQAAX3JlbHMvLnJlbHNQSwECLQAUAAYACAAAACEA&#10;Lzet4NcBAACRAwAADgAAAAAAAAAAAAAAAAAuAgAAZHJzL2Uyb0RvYy54bWxQSwECLQAUAAYACAAA&#10;ACEAZ8ScmOIAAAANAQAADwAAAAAAAAAAAAAAAAAxBAAAZHJzL2Rvd25yZXYueG1sUEsFBgAAAAAE&#10;AAQA8wAAAEAFAAAAAA==&#10;" filled="f" stroked="f">
              <v:textbox inset="0,0,0,0">
                <w:txbxContent>
                  <w:p w14:paraId="5E7DE36E" w14:textId="77777777" w:rsidR="00D07766" w:rsidRDefault="002F75E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Arial" w:hAnsi="Arial"/>
                      </w:rPr>
                      <w:t xml:space="preserve">2018</w:t>
                    </w:r>
                    <w:r>
                      <w:rPr>
                        <w:rFonts w:ascii="Arial" w:hAnsi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MasterFormat</w:t>
                    </w:r>
                    <w:r>
                      <w:rPr>
                        <w:rFonts w:ascii="Arial" w:hAnsi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(FEV</w:t>
                    </w:r>
                    <w:r>
                      <w:rPr>
                        <w:rFonts w:ascii="Arial" w:hAnsi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</w:rPr>
                      <w:t xml:space="preserve"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0464" behindDoc="1" locked="0" layoutInCell="1" allowOverlap="1" wp14:anchorId="792368F1" wp14:editId="76249E7C">
              <wp:simplePos x="0" y="0"/>
              <wp:positionH relativeFrom="page">
                <wp:posOffset>6076315</wp:posOffset>
              </wp:positionH>
              <wp:positionV relativeFrom="page">
                <wp:posOffset>9483090</wp:posOffset>
              </wp:positionV>
              <wp:extent cx="794385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59BCC" w14:textId="77777777" w:rsidR="00D07766" w:rsidRDefault="002F75E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Página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 xml:space="preserve"> de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t xml:space="preserve"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368F1" id="docshape2" o:spid="_x0000_s1027" type="#_x0000_t202" style="position:absolute;margin-left:478.45pt;margin-top:746.7pt;width:62.55pt;height:13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Vk1wEAAJcDAAAOAAAAZHJzL2Uyb0RvYy54bWysU9tu1DAQfUfiHyy/s0kKLSXabFVaFSGV&#10;i9TyAY5jJxaJx4y9myxfz9hJtkDfEC/WZGwfn8tkezUNPTso9AZsxYtNzpmyEhpj24p/e7x7dcmZ&#10;D8I2ogerKn5Unl/tXr7Yjq5UZ9BB3yhkBGJ9ObqKdyG4Msu87NQg/AacsrSpAQcR6BPbrEExEvrQ&#10;Z2d5fpGNgI1DkMp76t7Om3yX8LVWMnzR2qvA+ooTt5BWTGsd12y3FWWLwnVGLjTEP7AYhLH06Anq&#10;VgTB9mieQQ1GInjQYSNhyEBrI1XSQGqK/C81D51wKmkhc7w72eT/H6z8fHhwX5GF6T1MFGAS4d09&#10;yO+eWbjphG3VNSKMnRINPVxEy7LR+XK5Gq32pY8g9fgJGgpZ7AMkoEnjEF0hnYzQKYDjyXQ1BSap&#10;+fbdm9eX55xJ2iouzos8hZKJcr3s0IcPCgYWi4ojZZrAxeHeh0hGlOuR+JaFO9P3Kdfe/tGgg7GT&#10;yEe+M/Mw1RMzzaIsaqmhOZIahHlaaLqp6AB/cjbSpFTc/9gLVJz1Hy05EsdqLXAt6rUQVtLVigfO&#10;5vImzOO3d2jajpBnzy1ck2vaJEVPLBa6lH4SukxqHK/fv9Opp/9p9wsAAP//AwBQSwMEFAAGAAgA&#10;AAAhAA7AIx3iAAAADgEAAA8AAABkcnMvZG93bnJldi54bWxMj8FOwzAQRO9I/IO1SNyo05JGdYhT&#10;VQhOSIg0HDg6sZtYjdchdtvw92xPcNvRPM3OFNvZDexspmA9SlguEmAGW68tdhI+69eHDbAQFWo1&#10;eDQSfkyAbXl7U6hc+wtW5ryPHaMQDLmS0Mc45pyHtjdOhYUfDZJ38JNTkeTUcT2pC4W7ga+SJONO&#10;WaQPvRrNc2/a4/7kJOy+sHqx3+/NR3WobF2LBN+yo5T3d/PuCVg0c/yD4VqfqkNJnRp/Qh3YIEGs&#10;M0EoGal4TIFdkWSzon0NXeulSIGXBf8/o/wFAAD//wMAUEsBAi0AFAAGAAgAAAAhALaDOJL+AAAA&#10;4QEAABMAAAAAAAAAAAAAAAAAAAAAAFtDb250ZW50X1R5cGVzXS54bWxQSwECLQAUAAYACAAAACEA&#10;OP0h/9YAAACUAQAACwAAAAAAAAAAAAAAAAAvAQAAX3JlbHMvLnJlbHNQSwECLQAUAAYACAAAACEA&#10;SvCVZNcBAACXAwAADgAAAAAAAAAAAAAAAAAuAgAAZHJzL2Uyb0RvYy54bWxQSwECLQAUAAYACAAA&#10;ACEADsAjHeIAAAAOAQAADwAAAAAAAAAAAAAAAAAxBAAAZHJzL2Rvd25yZXYueG1sUEsFBgAAAAAE&#10;AAQA8wAAAEAFAAAAAA==&#10;" filled="f" stroked="f">
              <v:textbox inset="0,0,0,0">
                <w:txbxContent>
                  <w:p w14:paraId="4EC59BCC" w14:textId="77777777" w:rsidR="00D07766" w:rsidRDefault="002F75E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Arial" w:hAnsi="Arial"/>
                      </w:rPr>
                      <w:t xml:space="preserve">Página</w:t>
                    </w:r>
                    <w:r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</w:rPr>
                      <w:t xml:space="preserve"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3"/>
                      </w:rPr>
                      <w:t xml:space="preserve"> de</w:t>
                    </w:r>
                    <w:r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</w:rPr>
                      <w:t xml:space="preserve"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B6" w14:textId="77777777" w:rsidR="00F90CE4" w:rsidRDefault="00F9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007D" w14:textId="77777777" w:rsidR="002F75E5" w:rsidRDefault="002F75E5">
      <w:r>
        <w:separator/>
      </w:r>
    </w:p>
  </w:footnote>
  <w:footnote w:type="continuationSeparator" w:id="0">
    <w:p w14:paraId="2F2A931F" w14:textId="77777777" w:rsidR="002F75E5" w:rsidRDefault="002F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4725" w14:textId="77777777" w:rsidR="00F90CE4" w:rsidRDefault="00F90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A316" w14:textId="77777777" w:rsidR="00D07766" w:rsidRDefault="002F75E5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549440" behindDoc="1" locked="0" layoutInCell="1" allowOverlap="1" wp14:anchorId="583BDA50" wp14:editId="0B3321C8">
          <wp:simplePos x="0" y="0"/>
          <wp:positionH relativeFrom="page">
            <wp:posOffset>5538215</wp:posOffset>
          </wp:positionH>
          <wp:positionV relativeFrom="page">
            <wp:posOffset>345947</wp:posOffset>
          </wp:positionV>
          <wp:extent cx="1365503" cy="5501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503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14BB" w14:textId="77777777" w:rsidR="00F90CE4" w:rsidRDefault="00F9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05"/>
    <w:multiLevelType w:val="hybridMultilevel"/>
    <w:tmpl w:val="D914650A"/>
    <w:lvl w:ilvl="0" w:tplc="C8A4B578">
      <w:start w:val="4"/>
      <w:numFmt w:val="upperLetter"/>
      <w:lvlText w:val="%1."/>
      <w:lvlJc w:val="left"/>
      <w:pPr>
        <w:ind w:left="11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F3610CE">
      <w:start w:val="11"/>
      <w:numFmt w:val="decimal"/>
      <w:lvlText w:val="%2."/>
      <w:lvlJc w:val="left"/>
      <w:pPr>
        <w:ind w:left="145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F7E31DA">
      <w:start w:val="1"/>
      <w:numFmt w:val="lowerLetter"/>
      <w:lvlText w:val="%3."/>
      <w:lvlJc w:val="left"/>
      <w:pPr>
        <w:ind w:left="1899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3" w:tplc="C3A4198C">
      <w:start w:val="1"/>
      <w:numFmt w:val="lowerRoman"/>
      <w:lvlText w:val="%4."/>
      <w:lvlJc w:val="left"/>
      <w:pPr>
        <w:ind w:left="2619" w:hanging="2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 w:tplc="90BAC060">
      <w:numFmt w:val="bullet"/>
      <w:lvlText w:val="•"/>
      <w:lvlJc w:val="left"/>
      <w:pPr>
        <w:ind w:left="3557" w:hanging="292"/>
      </w:pPr>
      <w:rPr>
        <w:rFonts w:hint="default"/>
        <w:lang w:val="en-US" w:eastAsia="en-US" w:bidi="ar-SA"/>
      </w:rPr>
    </w:lvl>
    <w:lvl w:ilvl="5" w:tplc="A950DB48">
      <w:numFmt w:val="bullet"/>
      <w:lvlText w:val="•"/>
      <w:lvlJc w:val="left"/>
      <w:pPr>
        <w:ind w:left="4494" w:hanging="292"/>
      </w:pPr>
      <w:rPr>
        <w:rFonts w:hint="default"/>
        <w:lang w:val="en-US" w:eastAsia="en-US" w:bidi="ar-SA"/>
      </w:rPr>
    </w:lvl>
    <w:lvl w:ilvl="6" w:tplc="11262B2A">
      <w:numFmt w:val="bullet"/>
      <w:lvlText w:val="•"/>
      <w:lvlJc w:val="left"/>
      <w:pPr>
        <w:ind w:left="5431" w:hanging="292"/>
      </w:pPr>
      <w:rPr>
        <w:rFonts w:hint="default"/>
        <w:lang w:val="en-US" w:eastAsia="en-US" w:bidi="ar-SA"/>
      </w:rPr>
    </w:lvl>
    <w:lvl w:ilvl="7" w:tplc="43FA39B2">
      <w:numFmt w:val="bullet"/>
      <w:lvlText w:val="•"/>
      <w:lvlJc w:val="left"/>
      <w:pPr>
        <w:ind w:left="6368" w:hanging="292"/>
      </w:pPr>
      <w:rPr>
        <w:rFonts w:hint="default"/>
        <w:lang w:val="en-US" w:eastAsia="en-US" w:bidi="ar-SA"/>
      </w:rPr>
    </w:lvl>
    <w:lvl w:ilvl="8" w:tplc="BB7AA98A">
      <w:numFmt w:val="bullet"/>
      <w:lvlText w:val="•"/>
      <w:lvlJc w:val="left"/>
      <w:pPr>
        <w:ind w:left="7305" w:hanging="292"/>
      </w:pPr>
      <w:rPr>
        <w:rFonts w:hint="default"/>
        <w:lang w:val="en-US" w:eastAsia="en-US" w:bidi="ar-SA"/>
      </w:rPr>
    </w:lvl>
  </w:abstractNum>
  <w:abstractNum w:abstractNumId="1" w15:restartNumberingAfterBreak="0">
    <w:nsid w:val="16416CD0"/>
    <w:multiLevelType w:val="hybridMultilevel"/>
    <w:tmpl w:val="70389BF4"/>
    <w:lvl w:ilvl="0" w:tplc="6DD64642">
      <w:start w:val="1"/>
      <w:numFmt w:val="lowerRoman"/>
      <w:lvlText w:val="%1."/>
      <w:lvlJc w:val="left"/>
      <w:pPr>
        <w:ind w:left="190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8A8916C">
      <w:start w:val="1"/>
      <w:numFmt w:val="lowerRoman"/>
      <w:lvlText w:val="%2."/>
      <w:lvlJc w:val="left"/>
      <w:pPr>
        <w:ind w:left="26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504E4ADC">
      <w:numFmt w:val="bullet"/>
      <w:lvlText w:val="•"/>
      <w:lvlJc w:val="left"/>
      <w:pPr>
        <w:ind w:left="3348" w:hanging="281"/>
      </w:pPr>
      <w:rPr>
        <w:rFonts w:hint="default"/>
        <w:lang w:val="en-US" w:eastAsia="en-US" w:bidi="ar-SA"/>
      </w:rPr>
    </w:lvl>
    <w:lvl w:ilvl="3" w:tplc="6F72CD60">
      <w:numFmt w:val="bullet"/>
      <w:lvlText w:val="•"/>
      <w:lvlJc w:val="left"/>
      <w:pPr>
        <w:ind w:left="4077" w:hanging="281"/>
      </w:pPr>
      <w:rPr>
        <w:rFonts w:hint="default"/>
        <w:lang w:val="en-US" w:eastAsia="en-US" w:bidi="ar-SA"/>
      </w:rPr>
    </w:lvl>
    <w:lvl w:ilvl="4" w:tplc="686C856C">
      <w:numFmt w:val="bullet"/>
      <w:lvlText w:val="•"/>
      <w:lvlJc w:val="left"/>
      <w:pPr>
        <w:ind w:left="4806" w:hanging="281"/>
      </w:pPr>
      <w:rPr>
        <w:rFonts w:hint="default"/>
        <w:lang w:val="en-US" w:eastAsia="en-US" w:bidi="ar-SA"/>
      </w:rPr>
    </w:lvl>
    <w:lvl w:ilvl="5" w:tplc="0C1C046A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CD3ABF1E">
      <w:numFmt w:val="bullet"/>
      <w:lvlText w:val="•"/>
      <w:lvlJc w:val="left"/>
      <w:pPr>
        <w:ind w:left="6264" w:hanging="281"/>
      </w:pPr>
      <w:rPr>
        <w:rFonts w:hint="default"/>
        <w:lang w:val="en-US" w:eastAsia="en-US" w:bidi="ar-SA"/>
      </w:rPr>
    </w:lvl>
    <w:lvl w:ilvl="7" w:tplc="5CA45368">
      <w:numFmt w:val="bullet"/>
      <w:lvlText w:val="•"/>
      <w:lvlJc w:val="left"/>
      <w:pPr>
        <w:ind w:left="6993" w:hanging="281"/>
      </w:pPr>
      <w:rPr>
        <w:rFonts w:hint="default"/>
        <w:lang w:val="en-US" w:eastAsia="en-US" w:bidi="ar-SA"/>
      </w:rPr>
    </w:lvl>
    <w:lvl w:ilvl="8" w:tplc="34088EFC">
      <w:numFmt w:val="bullet"/>
      <w:lvlText w:val="•"/>
      <w:lvlJc w:val="left"/>
      <w:pPr>
        <w:ind w:left="772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79D40364"/>
    <w:multiLevelType w:val="hybridMultilevel"/>
    <w:tmpl w:val="619031C0"/>
    <w:lvl w:ilvl="0" w:tplc="FC805C90">
      <w:start w:val="2"/>
      <w:numFmt w:val="lowerRoman"/>
      <w:lvlText w:val="%1."/>
      <w:lvlJc w:val="left"/>
      <w:pPr>
        <w:ind w:left="2619" w:hanging="3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9DA44E2">
      <w:numFmt w:val="bullet"/>
      <w:lvlText w:val="•"/>
      <w:lvlJc w:val="left"/>
      <w:pPr>
        <w:ind w:left="3276" w:hanging="325"/>
      </w:pPr>
      <w:rPr>
        <w:rFonts w:hint="default"/>
        <w:lang w:val="en-US" w:eastAsia="en-US" w:bidi="ar-SA"/>
      </w:rPr>
    </w:lvl>
    <w:lvl w:ilvl="2" w:tplc="E1CA946E">
      <w:numFmt w:val="bullet"/>
      <w:lvlText w:val="•"/>
      <w:lvlJc w:val="left"/>
      <w:pPr>
        <w:ind w:left="3932" w:hanging="325"/>
      </w:pPr>
      <w:rPr>
        <w:rFonts w:hint="default"/>
        <w:lang w:val="en-US" w:eastAsia="en-US" w:bidi="ar-SA"/>
      </w:rPr>
    </w:lvl>
    <w:lvl w:ilvl="3" w:tplc="A8AC8020">
      <w:numFmt w:val="bullet"/>
      <w:lvlText w:val="•"/>
      <w:lvlJc w:val="left"/>
      <w:pPr>
        <w:ind w:left="4588" w:hanging="325"/>
      </w:pPr>
      <w:rPr>
        <w:rFonts w:hint="default"/>
        <w:lang w:val="en-US" w:eastAsia="en-US" w:bidi="ar-SA"/>
      </w:rPr>
    </w:lvl>
    <w:lvl w:ilvl="4" w:tplc="E83843BE">
      <w:numFmt w:val="bullet"/>
      <w:lvlText w:val="•"/>
      <w:lvlJc w:val="left"/>
      <w:pPr>
        <w:ind w:left="5244" w:hanging="325"/>
      </w:pPr>
      <w:rPr>
        <w:rFonts w:hint="default"/>
        <w:lang w:val="en-US" w:eastAsia="en-US" w:bidi="ar-SA"/>
      </w:rPr>
    </w:lvl>
    <w:lvl w:ilvl="5" w:tplc="205487AC">
      <w:numFmt w:val="bullet"/>
      <w:lvlText w:val="•"/>
      <w:lvlJc w:val="left"/>
      <w:pPr>
        <w:ind w:left="5900" w:hanging="325"/>
      </w:pPr>
      <w:rPr>
        <w:rFonts w:hint="default"/>
        <w:lang w:val="en-US" w:eastAsia="en-US" w:bidi="ar-SA"/>
      </w:rPr>
    </w:lvl>
    <w:lvl w:ilvl="6" w:tplc="5586479C">
      <w:numFmt w:val="bullet"/>
      <w:lvlText w:val="•"/>
      <w:lvlJc w:val="left"/>
      <w:pPr>
        <w:ind w:left="6556" w:hanging="325"/>
      </w:pPr>
      <w:rPr>
        <w:rFonts w:hint="default"/>
        <w:lang w:val="en-US" w:eastAsia="en-US" w:bidi="ar-SA"/>
      </w:rPr>
    </w:lvl>
    <w:lvl w:ilvl="7" w:tplc="BE681798">
      <w:numFmt w:val="bullet"/>
      <w:lvlText w:val="•"/>
      <w:lvlJc w:val="left"/>
      <w:pPr>
        <w:ind w:left="7212" w:hanging="325"/>
      </w:pPr>
      <w:rPr>
        <w:rFonts w:hint="default"/>
        <w:lang w:val="en-US" w:eastAsia="en-US" w:bidi="ar-SA"/>
      </w:rPr>
    </w:lvl>
    <w:lvl w:ilvl="8" w:tplc="786660CC">
      <w:numFmt w:val="bullet"/>
      <w:lvlText w:val="•"/>
      <w:lvlJc w:val="left"/>
      <w:pPr>
        <w:ind w:left="7868" w:hanging="3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NDW0MDAxNbU0MjVQ0lEKTi0uzszPAykwrAUAvC7Y7CwAAAA="/>
  </w:docVars>
  <w:rsids>
    <w:rsidRoot w:val="00D07766"/>
    <w:rsid w:val="002F75E5"/>
    <w:rsid w:val="00D07766"/>
    <w:rsid w:val="00F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D034D"/>
  <w15:docId w15:val="{75E41F72-7E7F-462D-B2B5-BB3BCC55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asciiTheme="minorHAnsi" w:eastAsiaTheme="minorHAnsi" w:hAnsi="Calibri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100" w:right="17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99" w:hanging="360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90CE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90C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CE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90C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BelimoMasterFormat 061515</dc:title>
  <dc:creator>riffleda</dc:creator>
  <cp:lastModifiedBy>Hickey, Lisa</cp:lastModifiedBy>
  <cp:revision>2</cp:revision>
  <dcterms:created xsi:type="dcterms:W3CDTF">2022-09-01T14:14:00Z</dcterms:created>
  <dcterms:modified xsi:type="dcterms:W3CDTF">2022-09-01T14:14:00Z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  <property fmtid="{D5CDD505-2E9C-101B-9397-08002B2CF9AE}" pid="5" name="Producer">
    <vt:lpwstr>Acrobat Distiller 11.0 (Windows)</vt:lpwstr>
  </property>
</Properties>
</file>