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53D4A" w14:textId="77777777" w:rsidR="004C068F" w:rsidRDefault="00E90864" w:rsidP="000E68A7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SEÇÃO 230923.11 – VÁLVULAS DE CONTROLE</w:t>
      </w:r>
    </w:p>
    <w:p w14:paraId="639D257C" w14:textId="77777777" w:rsidR="00400FC7" w:rsidRDefault="00E90864" w:rsidP="000E68A7">
      <w:pPr>
        <w:pStyle w:val="PR1"/>
        <w:numPr>
          <w:ilvl w:val="4"/>
          <w:numId w:val="14"/>
        </w:numPr>
      </w:pPr>
      <w:r>
        <w:t xml:space="preserve">As combinações de válvula de controle serão fornecidas e entregues por um único fabricante, como um conjunto completo.  </w:t>
      </w:r>
    </w:p>
    <w:p w14:paraId="1EB3EB94" w14:textId="77777777" w:rsidR="00E90864" w:rsidRDefault="00E90864" w:rsidP="000E68A7">
      <w:pPr>
        <w:pStyle w:val="PR1"/>
        <w:numPr>
          <w:ilvl w:val="4"/>
          <w:numId w:val="14"/>
        </w:numPr>
      </w:pPr>
      <w:r>
        <w:t xml:space="preserve">O fabricante garantirá todos os componentes por um período de 5 anos, exceto conforme observado, a contar da data de fabricação, com os dois primeiros anos sendo incondicionais.</w:t>
      </w:r>
    </w:p>
    <w:p w14:paraId="776144F5" w14:textId="77777777" w:rsidR="00C02916" w:rsidRDefault="007618ED" w:rsidP="00850BE4">
      <w:pPr>
        <w:pStyle w:val="ART"/>
        <w:numPr>
          <w:ilvl w:val="3"/>
          <w:numId w:val="6"/>
        </w:numPr>
      </w:pPr>
      <w:r>
        <w:t xml:space="preserve">VÁLVULAS DE CONTROLE ESTILO GLOBO</w:t>
      </w:r>
    </w:p>
    <w:p w14:paraId="699F740C" w14:textId="77777777" w:rsidR="00485213" w:rsidRPr="00485213" w:rsidRDefault="00485213" w:rsidP="00485213">
      <w:pPr>
        <w:pStyle w:val="PR1"/>
        <w:numPr>
          <w:ilvl w:val="4"/>
          <w:numId w:val="1"/>
        </w:numPr>
      </w:pPr>
      <w:r>
        <w:t xml:space="preserve">Fabricados, identificados com a marca, ou distribuídos pela Belimo.</w:t>
      </w:r>
    </w:p>
    <w:p w14:paraId="2533D2BE" w14:textId="77777777" w:rsidR="006A3577" w:rsidRDefault="006A3577" w:rsidP="00084DE6">
      <w:pPr>
        <w:pStyle w:val="PR2"/>
        <w:numPr>
          <w:ilvl w:val="4"/>
          <w:numId w:val="1"/>
        </w:numPr>
        <w:tabs>
          <w:tab w:val="left" w:pos="864"/>
          <w:tab w:val="left" w:pos="1440"/>
        </w:tabs>
        <w:spacing w:before="240"/>
      </w:pPr>
      <w:r>
        <w:t xml:space="preserve">Desempenho das válvulas globo do sistema hidrônico </w:t>
      </w:r>
      <w:r>
        <w:rPr>
          <w:rStyle w:val="IP"/>
        </w:rPr>
        <w:t xml:space="preserve">NPS 2</w:t>
      </w:r>
      <w:r>
        <w:rPr>
          <w:rStyle w:val="SI"/>
        </w:rPr>
        <w:t xml:space="preserve"> (DN 50)</w:t>
      </w:r>
      <w:r>
        <w:t xml:space="preserve"> e inferior</w:t>
      </w:r>
    </w:p>
    <w:p w14:paraId="50288975" w14:textId="77777777" w:rsidR="00E91450" w:rsidRDefault="00E91450" w:rsidP="00084DE6">
      <w:pPr>
        <w:pStyle w:val="PR2"/>
      </w:pPr>
      <w:r>
        <w:t xml:space="preserve">Materiais:</w:t>
      </w:r>
    </w:p>
    <w:p w14:paraId="3E2E1D74" w14:textId="77777777" w:rsidR="00E91450" w:rsidRDefault="00E91450" w:rsidP="00E91450">
      <w:pPr>
        <w:pStyle w:val="PR3"/>
      </w:pPr>
      <w:r>
        <w:t xml:space="preserve">Corpo: </w:t>
      </w:r>
    </w:p>
    <w:p w14:paraId="0A2CBDB7" w14:textId="77777777" w:rsidR="00E91450" w:rsidRDefault="00E91450" w:rsidP="00E91450">
      <w:pPr>
        <w:pStyle w:val="PR4"/>
      </w:pPr>
      <w:r>
        <w:t xml:space="preserve">bronze.</w:t>
      </w:r>
    </w:p>
    <w:p w14:paraId="7176CF66" w14:textId="77777777" w:rsidR="00E91450" w:rsidRDefault="00084DE6" w:rsidP="00E91450">
      <w:pPr>
        <w:pStyle w:val="PR3"/>
      </w:pPr>
      <w:r>
        <w:t xml:space="preserve">Plugue:  </w:t>
      </w:r>
    </w:p>
    <w:p w14:paraId="75FF658D" w14:textId="77777777" w:rsidR="00E91450" w:rsidRDefault="00084DE6" w:rsidP="00E91450">
      <w:pPr>
        <w:pStyle w:val="PR4"/>
      </w:pPr>
      <w:r>
        <w:t xml:space="preserve">latão</w:t>
      </w:r>
    </w:p>
    <w:p w14:paraId="61E7C8D5" w14:textId="77777777" w:rsidR="00E91450" w:rsidRDefault="00084DE6" w:rsidP="00E91450">
      <w:pPr>
        <w:pStyle w:val="PR3"/>
      </w:pPr>
      <w:r>
        <w:t xml:space="preserve">Sede </w:t>
      </w:r>
    </w:p>
    <w:p w14:paraId="141081E7" w14:textId="77777777" w:rsidR="00E91450" w:rsidRDefault="00084DE6" w:rsidP="00E91450">
      <w:pPr>
        <w:pStyle w:val="PR4"/>
      </w:pPr>
      <w:r>
        <w:t xml:space="preserve">bronze</w:t>
      </w:r>
    </w:p>
    <w:p w14:paraId="58542B52" w14:textId="77777777" w:rsidR="00E91450" w:rsidRDefault="00084DE6" w:rsidP="00E91450">
      <w:pPr>
        <w:pStyle w:val="PR3"/>
      </w:pPr>
      <w:r>
        <w:t xml:space="preserve">Eixo:  </w:t>
      </w:r>
    </w:p>
    <w:p w14:paraId="300ECFAB" w14:textId="77777777" w:rsidR="00E91450" w:rsidRDefault="00084DE6" w:rsidP="00E91450">
      <w:pPr>
        <w:pStyle w:val="PR4"/>
      </w:pPr>
      <w:r>
        <w:t xml:space="preserve">Aço inoxidável</w:t>
      </w:r>
    </w:p>
    <w:p w14:paraId="434195A8" w14:textId="77777777" w:rsidR="00E91450" w:rsidRDefault="00084DE6" w:rsidP="00E91450">
      <w:pPr>
        <w:pStyle w:val="PR3"/>
      </w:pPr>
      <w:r>
        <w:t xml:space="preserve">Vedação do eixo:  </w:t>
      </w:r>
    </w:p>
    <w:p w14:paraId="46173342" w14:textId="77777777" w:rsidR="00E91450" w:rsidRDefault="00084DE6" w:rsidP="00E91450">
      <w:pPr>
        <w:pStyle w:val="PR4"/>
      </w:pPr>
      <w:r>
        <w:t xml:space="preserve">EPDM</w:t>
      </w:r>
    </w:p>
    <w:p w14:paraId="03165408" w14:textId="77777777" w:rsidR="001079FA" w:rsidRDefault="001079FA" w:rsidP="001079FA">
      <w:pPr>
        <w:pStyle w:val="PR4"/>
        <w:numPr>
          <w:ilvl w:val="0"/>
          <w:numId w:val="0"/>
        </w:numPr>
        <w:ind w:left="2592"/>
      </w:pPr>
    </w:p>
    <w:p w14:paraId="0AA25D59" w14:textId="77777777" w:rsidR="003F131F" w:rsidRDefault="003F131F" w:rsidP="003F131F">
      <w:pPr>
        <w:pStyle w:val="PR2"/>
      </w:pPr>
      <w:r>
        <w:rPr>
          <w:u w:val="single"/>
        </w:rPr>
        <w:t xml:space="preserve">Conexões de tubulação</w:t>
      </w:r>
      <w:r>
        <w:t xml:space="preserve">: </w:t>
      </w:r>
    </w:p>
    <w:p w14:paraId="11E3D9C8" w14:textId="77777777" w:rsidR="003F131F" w:rsidRDefault="003F131F" w:rsidP="003F131F">
      <w:pPr>
        <w:pStyle w:val="PR3"/>
      </w:pP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5B9BD5"/>
        </w:rPr>
        <w:t xml:space="preserve">DN 50</w:t>
      </w:r>
      <w:r>
        <w:rPr>
          <w:bCs/>
        </w:rPr>
        <w:t xml:space="preserve">)</w:t>
      </w:r>
      <w:r>
        <w:t xml:space="preserve"> e inferior: (2), NPT fêmea.</w:t>
      </w:r>
    </w:p>
    <w:p w14:paraId="6D268BD6" w14:textId="77777777" w:rsidR="003F131F" w:rsidRDefault="003F131F" w:rsidP="003F131F">
      <w:pPr>
        <w:pStyle w:val="PR2"/>
      </w:pPr>
      <w:r>
        <w:rPr>
          <w:u w:val="single"/>
        </w:rPr>
        <w:t xml:space="preserve">Meio</w:t>
      </w:r>
      <w:r>
        <w:t xml:space="preserve">: água (solução aquosa de propilenoglicol, máximo 60%).</w:t>
      </w:r>
    </w:p>
    <w:p w14:paraId="7ACF788D" w14:textId="77777777" w:rsidR="003F131F" w:rsidRDefault="003F131F" w:rsidP="003F131F">
      <w:pPr>
        <w:pStyle w:val="PR2"/>
      </w:pPr>
      <w:r>
        <w:rPr>
          <w:u w:val="single"/>
        </w:rPr>
        <w:t xml:space="preserve">Desempenho</w:t>
      </w:r>
      <w:r>
        <w:t xml:space="preserve">:  </w:t>
      </w:r>
    </w:p>
    <w:p w14:paraId="0450BFB9" w14:textId="77777777" w:rsidR="002E43DB" w:rsidRDefault="002E43DB" w:rsidP="002E43DB">
      <w:pPr>
        <w:pStyle w:val="PR3"/>
      </w:pPr>
      <w:r>
        <w:rPr>
          <w:rStyle w:val="IP"/>
          <w:bCs/>
          <w:color w:val="auto"/>
        </w:rPr>
        <w:t xml:space="preserve">Temperatura do meio:</w:t>
      </w:r>
      <w:r>
        <w:rPr>
          <w:rStyle w:val="IP"/>
          <w:b/>
          <w:color w:val="auto"/>
        </w:rPr>
        <w:t xml:space="preserve"> </w:t>
      </w:r>
      <w:r>
        <w:rPr>
          <w:rStyle w:val="IP"/>
          <w:b/>
        </w:rPr>
        <w:t xml:space="preserve">20℉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280</w:t>
      </w:r>
      <w:r>
        <w:rPr>
          <w:rStyle w:val="SI"/>
          <w:b/>
        </w:rPr>
        <w:t xml:space="preserve"> </w:t>
      </w:r>
      <w:r>
        <w:rPr>
          <w:rStyle w:val="IP"/>
          <w:b/>
        </w:rPr>
        <w:t xml:space="preserve">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5B9BD5"/>
        </w:rPr>
        <w:t xml:space="preserve">-7℃ </w:t>
      </w:r>
      <w:r>
        <w:rPr>
          <w:rStyle w:val="SI"/>
          <w:bCs/>
          <w:color w:val="auto"/>
        </w:rPr>
        <w:t xml:space="preserve">a</w:t>
      </w:r>
      <w:r>
        <w:rPr>
          <w:rStyle w:val="SI"/>
          <w:b/>
          <w:color w:val="5B9BD5"/>
        </w:rPr>
        <w:t xml:space="preserve"> 138℃</w:t>
      </w:r>
      <w:r>
        <w:rPr>
          <w:rStyle w:val="SI"/>
          <w:bCs/>
          <w:color w:val="auto"/>
        </w:rPr>
        <w:t xml:space="preserve">)</w:t>
      </w:r>
      <w:r>
        <w:t xml:space="preserve">.</w:t>
      </w:r>
    </w:p>
    <w:p w14:paraId="28D7D17C" w14:textId="77777777" w:rsidR="002E43DB" w:rsidRDefault="002E43DB" w:rsidP="002E43DB">
      <w:pPr>
        <w:pStyle w:val="PR3"/>
      </w:pPr>
      <w:r>
        <w:t xml:space="preserve">Pressão:</w:t>
      </w:r>
    </w:p>
    <w:p w14:paraId="7A8C3B24" w14:textId="77777777" w:rsidR="002E43DB" w:rsidRDefault="002E43DB" w:rsidP="002E43DB">
      <w:pPr>
        <w:pStyle w:val="PR4"/>
      </w:pPr>
      <w:r>
        <w:t xml:space="preserve">Corpo: </w:t>
      </w:r>
      <w:r>
        <w:rPr>
          <w:b/>
          <w:bCs/>
          <w:color w:val="FF0000"/>
        </w:rPr>
        <w:t xml:space="preserve">ANSI Classe 250</w:t>
      </w:r>
    </w:p>
    <w:p w14:paraId="70C5BDA6" w14:textId="77777777" w:rsidR="002E43DB" w:rsidRDefault="002E43DB" w:rsidP="002E43DB">
      <w:pPr>
        <w:pStyle w:val="PR4"/>
      </w:pPr>
      <w:r>
        <w:t xml:space="preserve">Diferencial operacional máximo: 35</w:t>
      </w:r>
      <w:r>
        <w:rPr>
          <w:b/>
          <w:bCs/>
          <w:color w:val="FF0000"/>
        </w:rPr>
        <w:t xml:space="preserve">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5B9BD5"/>
        </w:rPr>
        <w:t xml:space="preserve">345 kPa</w:t>
      </w:r>
      <w:r>
        <w:t xml:space="preserve">);</w:t>
      </w:r>
    </w:p>
    <w:p w14:paraId="6D0986F5" w14:textId="77777777" w:rsidR="002E43DB" w:rsidRDefault="002E43DB" w:rsidP="002E43DB">
      <w:pPr>
        <w:pStyle w:val="PR4"/>
      </w:pPr>
      <w:r>
        <w:t xml:space="preserve">Fechamento (conjunto de válvula e atuação): </w:t>
      </w:r>
      <w:r>
        <w:rPr>
          <w:b/>
          <w:bCs/>
          <w:color w:val="FF0000"/>
        </w:rPr>
        <w:t xml:space="preserve">250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5B9BD5"/>
        </w:rPr>
        <w:t xml:space="preserve">1724 kPa</w:t>
      </w:r>
      <w:r>
        <w:t xml:space="preserve">) de 2 vias,   </w:t>
      </w:r>
    </w:p>
    <w:p w14:paraId="218B565F" w14:textId="77777777" w:rsidR="002E43DB" w:rsidRDefault="002E43DB" w:rsidP="002E43DB">
      <w:pPr>
        <w:pStyle w:val="PR4"/>
        <w:numPr>
          <w:ilvl w:val="0"/>
          <w:numId w:val="0"/>
        </w:numPr>
        <w:ind w:left="2592"/>
      </w:pPr>
      <w:r>
        <w:t xml:space="preserve"> 29-250 psig (200-1724 kPa) de 3 vias;</w:t>
      </w:r>
    </w:p>
    <w:p w14:paraId="797D4D9B" w14:textId="77777777" w:rsidR="003F131F" w:rsidRDefault="003F131F" w:rsidP="003F131F">
      <w:pPr>
        <w:pStyle w:val="PR3"/>
      </w:pPr>
      <w:r>
        <w:t xml:space="preserve">Vazamento (A-AB): 0%.</w:t>
      </w:r>
    </w:p>
    <w:p w14:paraId="57171E01" w14:textId="77777777" w:rsidR="003F131F" w:rsidRDefault="003F131F" w:rsidP="003F131F">
      <w:pPr>
        <w:pStyle w:val="PR3"/>
      </w:pPr>
      <w:r>
        <w:t xml:space="preserve">Característica de fluxo: igual porcentagem modificada</w:t>
      </w:r>
    </w:p>
    <w:p w14:paraId="2CE6FF61" w14:textId="77777777" w:rsidR="007F1664" w:rsidRDefault="007F1664" w:rsidP="007F1664">
      <w:pPr>
        <w:pStyle w:val="PR1"/>
        <w:numPr>
          <w:ilvl w:val="4"/>
          <w:numId w:val="1"/>
        </w:numPr>
        <w:tabs>
          <w:tab w:val="left" w:pos="864"/>
        </w:tabs>
      </w:pPr>
      <w:r>
        <w:t xml:space="preserve">Válvulas globo de sistema de vapor terão as seguintes características:</w:t>
      </w:r>
    </w:p>
    <w:p w14:paraId="34DFFF1C" w14:textId="77777777" w:rsidR="007F1664" w:rsidRDefault="007F1664" w:rsidP="007F1664">
      <w:pPr>
        <w:pStyle w:val="PR2"/>
      </w:pPr>
      <w:r>
        <w:t xml:space="preserve">Materiais:</w:t>
      </w:r>
    </w:p>
    <w:p w14:paraId="104AAAF8" w14:textId="77777777" w:rsidR="007F1664" w:rsidRDefault="007F1664" w:rsidP="007F1664">
      <w:pPr>
        <w:pStyle w:val="PR3"/>
      </w:pPr>
      <w:r>
        <w:t xml:space="preserve">Corpo: </w:t>
      </w:r>
    </w:p>
    <w:p w14:paraId="1B8D9EBF" w14:textId="77777777" w:rsidR="007F1664" w:rsidRDefault="007F1664" w:rsidP="007F1664">
      <w:pPr>
        <w:pStyle w:val="PR4"/>
      </w:pPr>
      <w:r>
        <w:t xml:space="preserve">bronze.</w:t>
      </w:r>
    </w:p>
    <w:p w14:paraId="230FD723" w14:textId="77777777" w:rsidR="007F1664" w:rsidRDefault="007F1664" w:rsidP="007F1664">
      <w:pPr>
        <w:pStyle w:val="PR3"/>
      </w:pPr>
      <w:r>
        <w:t xml:space="preserve">Plugue:  </w:t>
      </w:r>
    </w:p>
    <w:p w14:paraId="31BD13B6" w14:textId="77777777" w:rsidR="007F1664" w:rsidRDefault="007F1664" w:rsidP="007F1664">
      <w:pPr>
        <w:pStyle w:val="PR4"/>
      </w:pPr>
      <w:r>
        <w:t xml:space="preserve">Aço inoxidável</w:t>
      </w:r>
    </w:p>
    <w:p w14:paraId="3DA9F739" w14:textId="77777777" w:rsidR="007F1664" w:rsidRDefault="007F1664" w:rsidP="007F1664">
      <w:pPr>
        <w:pStyle w:val="PR3"/>
      </w:pPr>
      <w:r>
        <w:t xml:space="preserve">Sede </w:t>
      </w:r>
    </w:p>
    <w:p w14:paraId="3C7E11D6" w14:textId="77777777" w:rsidR="007F1664" w:rsidRDefault="00BA3AA5" w:rsidP="007F1664">
      <w:pPr>
        <w:pStyle w:val="PR4"/>
      </w:pPr>
      <w:r>
        <w:t xml:space="preserve">Aço inoxidável</w:t>
      </w:r>
    </w:p>
    <w:p w14:paraId="4B7F0733" w14:textId="77777777" w:rsidR="007F1664" w:rsidRDefault="007F1664" w:rsidP="007F1664">
      <w:pPr>
        <w:pStyle w:val="PR3"/>
      </w:pPr>
      <w:r>
        <w:t xml:space="preserve">Eixo:  </w:t>
      </w:r>
    </w:p>
    <w:p w14:paraId="6343FBCD" w14:textId="77777777" w:rsidR="007F1664" w:rsidRDefault="007F1664" w:rsidP="007F1664">
      <w:pPr>
        <w:pStyle w:val="PR4"/>
      </w:pPr>
      <w:r>
        <w:t xml:space="preserve">Aço inoxidável</w:t>
      </w:r>
    </w:p>
    <w:p w14:paraId="421FE43A" w14:textId="77777777" w:rsidR="007F1664" w:rsidRDefault="007F1664" w:rsidP="007F1664">
      <w:pPr>
        <w:pStyle w:val="PR3"/>
      </w:pPr>
      <w:r>
        <w:t xml:space="preserve">Vedação do eixo:  </w:t>
      </w:r>
    </w:p>
    <w:p w14:paraId="5C836F78" w14:textId="77777777" w:rsidR="007F1664" w:rsidRDefault="007F1664" w:rsidP="007F1664">
      <w:pPr>
        <w:pStyle w:val="PR4"/>
      </w:pPr>
      <w:r>
        <w:t xml:space="preserve">EPDM</w:t>
      </w:r>
    </w:p>
    <w:p w14:paraId="395825BC" w14:textId="77777777" w:rsidR="007F1664" w:rsidRDefault="007F1664" w:rsidP="007F1664">
      <w:pPr>
        <w:pStyle w:val="PR2"/>
      </w:pPr>
      <w:r>
        <w:rPr>
          <w:u w:val="single"/>
        </w:rPr>
        <w:t xml:space="preserve">Conexões de tubulação</w:t>
      </w:r>
      <w:r>
        <w:t xml:space="preserve">: </w:t>
      </w:r>
    </w:p>
    <w:p w14:paraId="05AC80A8" w14:textId="77777777" w:rsidR="007F1664" w:rsidRDefault="007F1664" w:rsidP="007F1664">
      <w:pPr>
        <w:pStyle w:val="PR3"/>
      </w:pP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5B9BD5"/>
        </w:rPr>
        <w:t xml:space="preserve">DN 50</w:t>
      </w:r>
      <w:r>
        <w:rPr>
          <w:bCs/>
        </w:rPr>
        <w:t xml:space="preserve">)</w:t>
      </w:r>
      <w:r>
        <w:t xml:space="preserve"> e inferior: (2), NPT fêmea.</w:t>
      </w:r>
    </w:p>
    <w:p w14:paraId="45D05AF6" w14:textId="77777777" w:rsidR="007F1664" w:rsidRDefault="007F1664" w:rsidP="007F1664">
      <w:pPr>
        <w:pStyle w:val="PR2"/>
      </w:pPr>
      <w:r>
        <w:rPr>
          <w:u w:val="single"/>
        </w:rPr>
        <w:t xml:space="preserve">Meio</w:t>
      </w:r>
      <w:r>
        <w:t xml:space="preserve">: vapor (15</w:t>
      </w:r>
      <w:r>
        <w:rPr>
          <w:b/>
          <w:color w:val="FF0000"/>
        </w:rPr>
        <w:t xml:space="preserve"> psig</w:t>
      </w:r>
      <w:r>
        <w:rPr>
          <w:rStyle w:val="SI"/>
          <w:b/>
        </w:rPr>
        <w:t xml:space="preserve"> (103 kPa),</w:t>
      </w:r>
      <w:r>
        <w:t xml:space="preserve"> </w:t>
      </w:r>
      <w:r>
        <w:rPr>
          <w:b/>
          <w:color w:val="FF0000"/>
        </w:rPr>
        <w:t xml:space="preserve"> 35 psig</w:t>
      </w:r>
      <w:r>
        <w:rPr>
          <w:rStyle w:val="SI"/>
          <w:b/>
        </w:rPr>
        <w:t xml:space="preserve"> (241 kPa)</w:t>
      </w:r>
      <w:r>
        <w:t xml:space="preserve">, </w:t>
      </w:r>
      <w:r>
        <w:rPr>
          <w:b/>
          <w:color w:val="FF0000"/>
        </w:rPr>
        <w:t xml:space="preserve">100 psig</w:t>
      </w:r>
      <w:r>
        <w:rPr>
          <w:rStyle w:val="SI"/>
          <w:b/>
        </w:rPr>
        <w:t xml:space="preserve"> (689 kPa)</w:t>
      </w:r>
      <w:r>
        <w:t xml:space="preserve">).</w:t>
      </w:r>
    </w:p>
    <w:p w14:paraId="653E7677" w14:textId="77777777" w:rsidR="007F1664" w:rsidRDefault="007F1664" w:rsidP="007F1664">
      <w:pPr>
        <w:pStyle w:val="PR2"/>
      </w:pPr>
      <w:r>
        <w:rPr>
          <w:u w:val="single"/>
        </w:rPr>
        <w:t xml:space="preserve">Desempenho</w:t>
      </w:r>
      <w:r>
        <w:t xml:space="preserve">:  </w:t>
      </w:r>
    </w:p>
    <w:p w14:paraId="2853B109" w14:textId="77777777" w:rsidR="007F1664" w:rsidRDefault="007F1664" w:rsidP="007F1664">
      <w:pPr>
        <w:pStyle w:val="PR3"/>
      </w:pPr>
      <w:r>
        <w:rPr>
          <w:rStyle w:val="IP"/>
          <w:bCs/>
          <w:color w:val="auto"/>
        </w:rPr>
        <w:t xml:space="preserve">Temperatura do meio:</w:t>
      </w:r>
      <w:r>
        <w:rPr>
          <w:rStyle w:val="IP"/>
          <w:b/>
          <w:color w:val="auto"/>
        </w:rPr>
        <w:t xml:space="preserve"> </w:t>
      </w:r>
      <w:r>
        <w:rPr>
          <w:rStyle w:val="IP"/>
          <w:b/>
        </w:rPr>
        <w:t xml:space="preserve">20℉ </w:t>
      </w:r>
      <w:r>
        <w:rPr>
          <w:rStyle w:val="IP"/>
          <w:bCs/>
          <w:color w:val="auto"/>
        </w:rPr>
        <w:t xml:space="preserve">a</w:t>
      </w:r>
      <w:r>
        <w:rPr>
          <w:rStyle w:val="IP"/>
          <w:b/>
        </w:rPr>
        <w:t xml:space="preserve"> 338</w:t>
      </w:r>
      <w:r>
        <w:rPr>
          <w:rStyle w:val="SI"/>
          <w:b/>
        </w:rPr>
        <w:t xml:space="preserve"> </w:t>
      </w:r>
      <w:r>
        <w:rPr>
          <w:rStyle w:val="IP"/>
          <w:b/>
        </w:rPr>
        <w:t xml:space="preserve">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5B9BD5"/>
        </w:rPr>
        <w:t xml:space="preserve">menos 7℃ </w:t>
      </w:r>
      <w:r>
        <w:rPr>
          <w:rStyle w:val="SI"/>
          <w:bCs/>
          <w:color w:val="auto"/>
        </w:rPr>
        <w:t xml:space="preserve">a</w:t>
      </w:r>
      <w:r>
        <w:rPr>
          <w:rStyle w:val="SI"/>
          <w:b/>
          <w:color w:val="5B9BD5"/>
        </w:rPr>
        <w:t xml:space="preserve"> mais 170℃</w:t>
      </w:r>
      <w:r>
        <w:rPr>
          <w:rStyle w:val="SI"/>
          <w:bCs/>
          <w:color w:val="auto"/>
        </w:rPr>
        <w:t xml:space="preserve">)</w:t>
      </w:r>
      <w:r>
        <w:t xml:space="preserve">.</w:t>
      </w:r>
    </w:p>
    <w:p w14:paraId="2DBB7F23" w14:textId="77777777" w:rsidR="007F1664" w:rsidRDefault="007F1664" w:rsidP="007F1664">
      <w:pPr>
        <w:pStyle w:val="PR3"/>
      </w:pPr>
      <w:r>
        <w:t xml:space="preserve">Pressão:</w:t>
      </w:r>
    </w:p>
    <w:p w14:paraId="0D092587" w14:textId="77777777" w:rsidR="007F1664" w:rsidRDefault="007F1664" w:rsidP="007F1664">
      <w:pPr>
        <w:pStyle w:val="PR4"/>
      </w:pPr>
      <w:r>
        <w:t xml:space="preserve">Corpo: </w:t>
      </w:r>
    </w:p>
    <w:p w14:paraId="32F16E48" w14:textId="77777777" w:rsidR="007F1664" w:rsidRDefault="007F1664" w:rsidP="007F1664">
      <w:pPr>
        <w:pStyle w:val="PR5"/>
        <w:tabs>
          <w:tab w:val="clear" w:pos="3168"/>
          <w:tab w:val="num" w:pos="3456"/>
        </w:tabs>
        <w:ind w:left="3456"/>
      </w:pPr>
      <w:r>
        <w:rPr>
          <w:b/>
          <w:bCs/>
          <w:color w:val="FF0000"/>
        </w:rPr>
        <w:t xml:space="preserve">NPS 1/2, </w:t>
      </w:r>
      <w:r>
        <w:t xml:space="preserve">a </w:t>
      </w:r>
      <w:r>
        <w:rPr>
          <w:b/>
          <w:bCs/>
          <w:color w:val="FF0000"/>
        </w:rPr>
        <w:t xml:space="preserve">NPS 2 </w:t>
      </w:r>
      <w:r>
        <w:t xml:space="preserve">(</w:t>
      </w:r>
      <w:r>
        <w:rPr>
          <w:b/>
          <w:bCs/>
          <w:color w:val="5B9BD5"/>
        </w:rPr>
        <w:t xml:space="preserve">DN 15 </w:t>
      </w:r>
      <w:r>
        <w:t xml:space="preserve">a </w:t>
      </w:r>
      <w:r>
        <w:rPr>
          <w:b/>
          <w:bCs/>
          <w:color w:val="5B9BD5"/>
        </w:rPr>
        <w:t xml:space="preserve">DN 50</w:t>
      </w:r>
      <w:r>
        <w:t xml:space="preserve">):  </w:t>
      </w:r>
      <w:r>
        <w:rPr>
          <w:b/>
          <w:bCs/>
          <w:color w:val="FF0000"/>
        </w:rPr>
        <w:t xml:space="preserve">360 psig</w:t>
      </w:r>
      <w:r>
        <w:t xml:space="preserve"> (</w:t>
      </w:r>
      <w:r>
        <w:rPr>
          <w:b/>
          <w:bCs/>
          <w:color w:val="5B9BD5"/>
        </w:rPr>
        <w:t xml:space="preserve">2758 kPa</w:t>
      </w:r>
      <w:r>
        <w:t xml:space="preserve">);</w:t>
      </w:r>
    </w:p>
    <w:p w14:paraId="73208982" w14:textId="77777777" w:rsidR="007F1664" w:rsidRDefault="007F1664" w:rsidP="007F1664">
      <w:pPr>
        <w:pStyle w:val="PR4"/>
      </w:pPr>
      <w:r>
        <w:t xml:space="preserve">Diferencial operacional máximo:  </w:t>
      </w:r>
      <w:r>
        <w:rPr>
          <w:b/>
          <w:bCs/>
          <w:color w:val="FF0000"/>
        </w:rPr>
        <w:t xml:space="preserve">50 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5B9BD5"/>
        </w:rPr>
        <w:t xml:space="preserve">241 kPa</w:t>
      </w:r>
      <w:r>
        <w:t xml:space="preserve">);</w:t>
      </w:r>
    </w:p>
    <w:p w14:paraId="424839C3" w14:textId="77777777" w:rsidR="002E43DB" w:rsidRDefault="002E43DB" w:rsidP="002E43DB">
      <w:pPr>
        <w:pStyle w:val="PR4"/>
      </w:pPr>
      <w:r>
        <w:t xml:space="preserve">Fechamento (conjunto de válvula e atuação): </w:t>
      </w:r>
      <w:r>
        <w:rPr>
          <w:b/>
          <w:bCs/>
          <w:color w:val="FF0000"/>
        </w:rPr>
        <w:t xml:space="preserve">250 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5B9BD5"/>
        </w:rPr>
        <w:t xml:space="preserve">1724 kPa</w:t>
      </w:r>
      <w:r>
        <w:t xml:space="preserve">) de 2 vias,   </w:t>
      </w:r>
    </w:p>
    <w:p w14:paraId="67DCB94A" w14:textId="77777777" w:rsidR="002E43DB" w:rsidRDefault="002E43DB" w:rsidP="002E43DB">
      <w:pPr>
        <w:pStyle w:val="PR4"/>
        <w:numPr>
          <w:ilvl w:val="0"/>
          <w:numId w:val="0"/>
        </w:numPr>
        <w:ind w:left="2592"/>
      </w:pPr>
      <w:r>
        <w:t xml:space="preserve"> 29-250 psig (200-1724 kPa) de 3 vias;</w:t>
      </w:r>
    </w:p>
    <w:p w14:paraId="19BD48B7" w14:textId="77777777" w:rsidR="002E43DB" w:rsidRDefault="002E43DB" w:rsidP="002E43DB">
      <w:pPr>
        <w:pStyle w:val="PR3"/>
      </w:pPr>
      <w:r>
        <w:t xml:space="preserve">Vazamento ANSI Classe VI</w:t>
      </w:r>
    </w:p>
    <w:p w14:paraId="0D9B5F7D" w14:textId="77777777" w:rsidR="007F1664" w:rsidRDefault="007F1664" w:rsidP="007F1664">
      <w:pPr>
        <w:pStyle w:val="PR3"/>
      </w:pPr>
      <w:r>
        <w:t xml:space="preserve">Característica de fluxo: igual porcentagem modificada</w:t>
      </w:r>
    </w:p>
    <w:p w14:paraId="1CAAEB12" w14:textId="77777777" w:rsidR="003158AA" w:rsidRDefault="003158AA" w:rsidP="003158AA">
      <w:pPr>
        <w:pStyle w:val="ART"/>
      </w:pPr>
      <w:r>
        <w:t xml:space="preserve">ATUADORES DA VÁLVULA DE CONTROLE ELÉTRICOS E ELETRÔNICOS</w:t>
      </w:r>
    </w:p>
    <w:p w14:paraId="6408CEE7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Fabricados, identificados com a marca, ou distribuídos pela Belimo.</w:t>
      </w:r>
    </w:p>
    <w:p w14:paraId="40F66B0E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A combinação (válvula de controle e atuador) será fornecida e entregue por um único fabricante, como um conjunto completo.</w:t>
      </w:r>
    </w:p>
    <w:p w14:paraId="4875CA95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Listas de certificações: ISO 9001, cULus, CE, CSA e UL 2043. O fabricante garantirá todos os componentes por um período de 5 anos a contar da data de fabricação, com os dois primeiros anos sendo incondicionais.</w:t>
      </w:r>
    </w:p>
    <w:p w14:paraId="69E98F71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Atuadores para válvula de controle hidrônico: capaz de fechar a válvula contra o cabeçote de desligamento da bomba do sistema.</w:t>
      </w:r>
    </w:p>
    <w:p w14:paraId="4030CFAC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Atuadores para válvulas de controle de vapor: desligamento a [</w:t>
      </w:r>
      <w:r>
        <w:rPr>
          <w:b/>
        </w:rPr>
        <w:t xml:space="preserve">1.2</w:t>
      </w:r>
      <w:r>
        <w:t xml:space="preserve">] [</w:t>
      </w:r>
      <w:r>
        <w:rPr>
          <w:b/>
        </w:rPr>
        <w:t xml:space="preserve">1.5</w:t>
      </w:r>
      <w:r>
        <w:t xml:space="preserve">] &lt;</w:t>
      </w:r>
      <w:r>
        <w:rPr>
          <w:b/>
        </w:rPr>
        <w:t xml:space="preserve">Inserir número</w:t>
      </w:r>
      <w:r>
        <w:t xml:space="preserve">&gt; vezes da pressão nominal de vapor.</w:t>
      </w:r>
    </w:p>
    <w:p w14:paraId="2B9BC95C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Indicador de posição e escala graduada em cada atuador.</w:t>
      </w:r>
    </w:p>
    <w:p w14:paraId="12889A07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Tipo: acionado por motor, com engrenagens, elétrico e eletrônico.  Eletronicamente protegido contra sobrecarga durante toda a rotação.</w:t>
      </w:r>
    </w:p>
    <w:p w14:paraId="1D89BC96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Tensão: [</w:t>
      </w:r>
      <w:r>
        <w:rPr>
          <w:b w:val="1"/>
          <w:bCs w:val="1"/>
        </w:rPr>
        <w:t xml:space="preserve">seleção de tensão delegada ao sistema de controle de design profissional</w:t>
      </w:r>
      <w:r>
        <w:t xml:space="preserve">] [</w:t>
      </w:r>
      <w:r>
        <w:rPr>
          <w:b/>
        </w:rPr>
        <w:t xml:space="preserve">24-V ca</w:t>
      </w:r>
      <w:r>
        <w:t xml:space="preserve">] [</w:t>
      </w:r>
      <w:r>
        <w:rPr>
          <w:b/>
        </w:rPr>
        <w:t xml:space="preserve">120-V ca</w:t>
      </w:r>
      <w:r>
        <w:t xml:space="preserve">] &lt;</w:t>
      </w:r>
      <w:r>
        <w:rPr>
          <w:b/>
        </w:rPr>
        <w:t xml:space="preserve">Inserir exigência</w:t>
      </w:r>
      <w:r>
        <w:t xml:space="preserve">&gt;.</w:t>
      </w:r>
    </w:p>
    <w:p w14:paraId="48148941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Fornecer o torque solicitado para o movimento uniforme e contínuo do dispositivo controlado de limite para limitar quando operado à tensão nominal na pressão de fechamento da válvula para o design do sistema.</w:t>
      </w:r>
    </w:p>
    <w:p w14:paraId="56E25662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Funciona corretamente em uma faixa de 80 a 120% da tensão da placa de identificação.</w:t>
      </w:r>
    </w:p>
    <w:p w14:paraId="4418CA4A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Atuadores de duas posições: direção única, função de segurança ou tipo reversível.</w:t>
      </w:r>
    </w:p>
    <w:p w14:paraId="061546D0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Atuadores de atuação proporcional:</w:t>
      </w:r>
    </w:p>
    <w:p w14:paraId="794A4970" w14:textId="77777777" w:rsidR="003158AA" w:rsidRDefault="003158AA" w:rsidP="003158AA">
      <w:pPr>
        <w:pStyle w:val="PR2"/>
      </w:pPr>
      <w:r>
        <w:t xml:space="preserve">Operação: capaz de parar em todos os pontos de toda a faixa e começar em qualquer direção a partir de qualquer ponto da faixa.</w:t>
      </w:r>
    </w:p>
    <w:p w14:paraId="31F05083" w14:textId="77777777" w:rsidR="003158AA" w:rsidRDefault="003158AA" w:rsidP="003158AA">
      <w:pPr>
        <w:pStyle w:val="PR2"/>
      </w:pPr>
      <w:r>
        <w:t xml:space="preserve">Sinal de entrada de controle:</w:t>
      </w:r>
    </w:p>
    <w:p w14:paraId="6B4D911F" w14:textId="77777777" w:rsidR="003158AA" w:rsidRDefault="003158AA" w:rsidP="003158AA">
      <w:pPr>
        <w:pStyle w:val="PR3"/>
      </w:pPr>
      <w:r>
        <w:t xml:space="preserve">Três pontos, Tristate ou de 3 pontos: entradas no sentido horário e no sentido anti-horário. Uma entrada orienta o atuador para a posição de abertura e outra entrada aciona o atuador para a posição fechada. Nenhum sinal de qualquer uma das entradas permanece na última posição.</w:t>
      </w:r>
    </w:p>
    <w:p w14:paraId="19C542CF" w14:textId="77777777" w:rsidR="003158AA" w:rsidRDefault="003158AA" w:rsidP="003158AA">
      <w:pPr>
        <w:pStyle w:val="PR3"/>
      </w:pPr>
      <w:r>
        <w:t xml:space="preserve">Proporcional: o atuador é orientado proporcional ao sinal de entrada e modula ao longo de todo o seu ângulo de rotação. Adequado para sinais [</w:t>
      </w:r>
      <w:r>
        <w:rPr>
          <w:b/>
        </w:rPr>
        <w:t xml:space="preserve">zero- a 10-</w:t>
      </w:r>
      <w:r>
        <w:t xml:space="preserve">] [</w:t>
      </w:r>
      <w:r>
        <w:rPr>
          <w:b/>
        </w:rPr>
        <w:t xml:space="preserve">ou</w:t>
      </w:r>
      <w:r>
        <w:t xml:space="preserve">] [</w:t>
      </w:r>
      <w:r>
        <w:rPr>
          <w:b/>
        </w:rPr>
        <w:t xml:space="preserve">2- a 10-</w:t>
      </w:r>
      <w:r>
        <w:t xml:space="preserve">]V cc [</w:t>
      </w:r>
      <w:r>
        <w:rPr>
          <w:b/>
        </w:rPr>
        <w:t xml:space="preserve">e</w:t>
      </w:r>
      <w:r>
        <w:t xml:space="preserve">] [</w:t>
      </w:r>
      <w:r>
        <w:rPr>
          <w:b/>
        </w:rPr>
        <w:t xml:space="preserve">4- a 20-mA</w:t>
      </w:r>
      <w:r>
        <w:t xml:space="preserve">].</w:t>
      </w:r>
    </w:p>
    <w:p w14:paraId="3FA0AC15" w14:textId="77777777" w:rsidR="003158AA" w:rsidRDefault="003158AA" w:rsidP="003158AA">
      <w:pPr>
        <w:pStyle w:val="PR3"/>
      </w:pPr>
      <w:r>
        <w:t xml:space="preserve">Modulação da largura de pulso (PWM): o atuador orienta para uma posição especificada de acordo com a duração de pulso (comprimento) do sinal de um fechamento isolado, "triac sink" ou controlador de fonte.</w:t>
      </w:r>
    </w:p>
    <w:p w14:paraId="11F673E7" w14:textId="77777777" w:rsidR="003158AA" w:rsidRDefault="003158AA" w:rsidP="003158AA">
      <w:pPr>
        <w:pStyle w:val="PR3"/>
      </w:pPr>
      <w:r>
        <w:t xml:space="preserve">Multifunção parametrizável:</w:t>
      </w:r>
    </w:p>
    <w:p w14:paraId="36C92954" w14:textId="77777777" w:rsidR="003158AA" w:rsidRDefault="003158AA" w:rsidP="003158AA">
      <w:pPr>
        <w:pStyle w:val="PR4"/>
      </w:pPr>
      <w:r>
        <w:t xml:space="preserve">Entrada de controle, feedback de posição, deslocamento mecânico e tempo de abertura ou fechamento: software de fábrica ou campo parametrizável sem o uso de switches com fixação do atuador.</w:t>
      </w:r>
    </w:p>
    <w:p w14:paraId="5E434F22" w14:textId="77777777" w:rsidR="003158AA" w:rsidRDefault="003158AA" w:rsidP="003158AA">
      <w:pPr>
        <w:pStyle w:val="PR4"/>
      </w:pPr>
      <w:r>
        <w:t xml:space="preserve">Adaptação:  conforme ajuste dos parâmetros de operação.  O atuador será capaz de adaptar a entrada de controle, o feedback e o tempo de abertura ou fechamento ao ângulo mecânico de rotação ou de deslocamento real.</w:t>
      </w:r>
    </w:p>
    <w:p w14:paraId="573FC077" w14:textId="77777777" w:rsidR="003158AA" w:rsidRDefault="003158AA" w:rsidP="003158AA">
      <w:pPr>
        <w:pStyle w:val="PR4"/>
      </w:pPr>
      <w:r>
        <w:t xml:space="preserve">Diagnóstico: feedback de flutuação ou oscilação, sobrecarga mecânica, deslocamento mecânico e limite de carga mecânica.</w:t>
      </w:r>
    </w:p>
    <w:p w14:paraId="43C76B66" w14:textId="77777777" w:rsidR="003158AA" w:rsidRDefault="003158AA" w:rsidP="003158AA">
      <w:pPr>
        <w:pStyle w:val="PR4"/>
      </w:pPr>
      <w:r>
        <w:t xml:space="preserve">Dados de serviço: incluir, no mínimo, o número de horas ligado e o número de horas em movimento.</w:t>
      </w:r>
    </w:p>
    <w:p w14:paraId="546FFD8C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Feedback de posição:</w:t>
      </w:r>
    </w:p>
    <w:p w14:paraId="675EC75D" w14:textId="77777777" w:rsidR="003158AA" w:rsidRDefault="003158AA" w:rsidP="003158AA">
      <w:pPr>
        <w:pStyle w:val="PR2"/>
      </w:pPr>
      <w:r>
        <w:t xml:space="preserve">Atuadores de duas posições [</w:t>
      </w:r>
      <w:r>
        <w:rPr>
          <w:b/>
        </w:rPr>
        <w:t xml:space="preserve">Equip</w:t>
      </w:r>
      <w:r>
        <w:t xml:space="preserve">] [</w:t>
      </w:r>
      <w:r>
        <w:rPr>
          <w:b/>
        </w:rPr>
        <w:t xml:space="preserve">Onde indicado, equip</w:t>
      </w:r>
      <w:r>
        <w:t xml:space="preserve">] com chaves fim de curso ou outros meios positivos de um sinal de indicação de posição para o monitoramento remoto da posição [</w:t>
      </w:r>
      <w:r>
        <w:rPr>
          <w:b/>
        </w:rPr>
        <w:t xml:space="preserve">aberta</w:t>
      </w:r>
      <w:r>
        <w:t xml:space="preserve">] [</w:t>
      </w:r>
      <w:r>
        <w:rPr>
          <w:b/>
        </w:rPr>
        <w:t xml:space="preserve">e</w:t>
      </w:r>
      <w:r>
        <w:t xml:space="preserve">] [</w:t>
      </w:r>
      <w:r>
        <w:rPr>
          <w:b/>
        </w:rPr>
        <w:t xml:space="preserve">fechada</w:t>
      </w:r>
      <w:r>
        <w:t xml:space="preserve">].</w:t>
      </w:r>
    </w:p>
    <w:p w14:paraId="3A131D04" w14:textId="77777777" w:rsidR="003158AA" w:rsidRDefault="003158AA" w:rsidP="003158AA">
      <w:pPr>
        <w:pStyle w:val="PR2"/>
      </w:pPr>
      <w:r>
        <w:t xml:space="preserve">Atuadores de atuação proporcional [</w:t>
      </w:r>
      <w:r>
        <w:rPr>
          <w:b/>
        </w:rPr>
        <w:t xml:space="preserve">Equip</w:t>
      </w:r>
      <w:r>
        <w:t xml:space="preserve">] [</w:t>
      </w:r>
      <w:r>
        <w:rPr>
          <w:b/>
        </w:rPr>
        <w:t xml:space="preserve">onde indicado, equip</w:t>
      </w:r>
      <w:r>
        <w:t xml:space="preserve">] com um feedback de posição por sinal de [</w:t>
      </w:r>
      <w:r>
        <w:rPr>
          <w:b/>
        </w:rPr>
        <w:t xml:space="preserve">corrente</w:t>
      </w:r>
      <w:r>
        <w:t xml:space="preserve">] [</w:t>
      </w:r>
      <w:r>
        <w:rPr>
          <w:b/>
        </w:rPr>
        <w:t xml:space="preserve">ou</w:t>
      </w:r>
      <w:r>
        <w:t xml:space="preserve">] [</w:t>
      </w:r>
      <w:r>
        <w:rPr>
          <w:b/>
        </w:rPr>
        <w:t xml:space="preserve">tensão</w:t>
      </w:r>
      <w:r>
        <w:t xml:space="preserve">] para monitoramento remoto.</w:t>
      </w:r>
    </w:p>
    <w:p w14:paraId="0A4D0151" w14:textId="77777777" w:rsidR="003158AA" w:rsidRDefault="003158AA" w:rsidP="003158AA">
      <w:pPr>
        <w:pStyle w:val="PR2"/>
      </w:pPr>
      <w:r>
        <w:t xml:space="preserve">Fornecer um indicador de posição e uma escala graduada em cada atuador indicando os limites de deslocamento aberto e fechado.</w:t>
      </w:r>
    </w:p>
    <w:p w14:paraId="47383241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Função de segurança:</w:t>
      </w:r>
    </w:p>
    <w:p w14:paraId="51ECB96F" w14:textId="77777777" w:rsidR="003158AA" w:rsidRDefault="003158AA" w:rsidP="003158AA">
      <w:pPr>
        <w:pStyle w:val="PR2"/>
      </w:pPr>
      <w:r>
        <w:t xml:space="preserve">Onde indicado, fornecer atuador em caso de falha em um fim-de-curso.</w:t>
      </w:r>
    </w:p>
    <w:p w14:paraId="0192BEA8" w14:textId="77777777" w:rsidR="003158AA" w:rsidRDefault="003158AA" w:rsidP="003158AA">
      <w:pPr>
        <w:pStyle w:val="PR2"/>
      </w:pPr>
      <w:r>
        <w:t xml:space="preserve">Mecanismo com retorno por mola para acionar o dispositivo controlado para um fim-de-curso (abrir ou fechar) em caso de perda de energia.  </w:t>
      </w:r>
    </w:p>
    <w:p w14:paraId="75A8D2A6" w14:textId="77777777" w:rsidR="003158AA" w:rsidRDefault="003158AA" w:rsidP="003158AA">
      <w:pPr>
        <w:pStyle w:val="PR2"/>
      </w:pPr>
      <w:r>
        <w:t xml:space="preserve">A função de segurança eletrônica incorporará um circuito de balanceamento ativo para manter taxas de carga iguais entre os Super Capacitores.  A posição de falha de energia será ajustável entre 0 e 100% em incrementos de 10% com um atraso operacional de 2 segundos </w:t>
      </w:r>
      <w:r>
        <w:rPr>
          <w:b/>
        </w:rPr>
        <w:t xml:space="preserve">[Inserir tempo entre 0 a 10 segundos]</w:t>
      </w:r>
      <w:r>
        <w:t xml:space="preserve">.</w:t>
      </w:r>
    </w:p>
    <w:p w14:paraId="68A61D2B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Proteção contra sobrecarga integral:</w:t>
      </w:r>
    </w:p>
    <w:p w14:paraId="47B9F188" w14:textId="77777777" w:rsidR="003158AA" w:rsidRDefault="003158AA" w:rsidP="003158AA">
      <w:pPr>
        <w:pStyle w:val="PR2"/>
      </w:pPr>
      <w:r>
        <w:t xml:space="preserve">Fornecer proteção eletrônica contra sobrecarga em toda a faixa de operação em ambas as direções.</w:t>
      </w:r>
    </w:p>
    <w:p w14:paraId="4373D25C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Anexo da válvula:</w:t>
      </w:r>
    </w:p>
    <w:p w14:paraId="4D59F919" w14:textId="77777777" w:rsidR="003158AA" w:rsidRDefault="003158AA" w:rsidP="003158AA">
      <w:pPr>
        <w:pStyle w:val="PR2"/>
      </w:pPr>
      <w:r>
        <w:t xml:space="preserve">Fixar o atuador ao eixo de acionamento da válvula de forma a garantir a transferência máxima de potência e força sem deslizamento.</w:t>
      </w:r>
    </w:p>
    <w:p w14:paraId="0FB62095" w14:textId="77777777" w:rsidR="003158AA" w:rsidRDefault="003158AA" w:rsidP="003158AA">
      <w:pPr>
        <w:pStyle w:val="PR2"/>
      </w:pPr>
      <w:r>
        <w:t xml:space="preserve">Os atuadores serão capazes de operação paralela, mecânica e eletricamente, para aumentar a força, se necessário.</w:t>
      </w:r>
    </w:p>
    <w:p w14:paraId="590CA834" w14:textId="77777777" w:rsidR="003158AA" w:rsidRPr="0008475A" w:rsidRDefault="0008475A" w:rsidP="003158AA">
      <w:pPr>
        <w:pStyle w:val="PR2"/>
      </w:pPr>
      <w:r>
        <w:t xml:space="preserve">Acoplar e montar diretamente na haste da tampa da válvula</w:t>
      </w:r>
    </w:p>
    <w:p w14:paraId="559DB5F2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Temperatura e umidade:</w:t>
      </w:r>
    </w:p>
    <w:p w14:paraId="1E59E3B3" w14:textId="77777777" w:rsidR="003158AA" w:rsidRDefault="003158AA" w:rsidP="003158AA">
      <w:pPr>
        <w:pStyle w:val="PR2"/>
      </w:pPr>
      <w:r>
        <w:t xml:space="preserve">Temperatura: adequado para faixa de temperatura de operação encontrada por aplicação com faixa de temperatura de operação mínima de [</w:t>
      </w:r>
      <w:r>
        <w:rPr>
          <w:rStyle w:val="IP"/>
          <w:b/>
        </w:rPr>
        <w:t xml:space="preserve">menos 22 a mais 122 deg F</w:t>
      </w:r>
      <w:r>
        <w:rPr>
          <w:rStyle w:val="SI"/>
          <w:b/>
        </w:rPr>
        <w:t xml:space="preserve"> (menos 30 a mais 50 deg C)</w:t>
      </w:r>
      <w:r>
        <w:t xml:space="preserve">] &lt;</w:t>
      </w:r>
      <w:r>
        <w:rPr>
          <w:b/>
        </w:rPr>
        <w:t xml:space="preserve">Inserir faixa de temperatura</w:t>
      </w:r>
      <w:r>
        <w:t xml:space="preserve">&gt;.</w:t>
      </w:r>
    </w:p>
    <w:p w14:paraId="79811B3F" w14:textId="77777777" w:rsidR="003158AA" w:rsidRDefault="003158AA" w:rsidP="003158AA">
      <w:pPr>
        <w:pStyle w:val="PR2"/>
      </w:pPr>
      <w:r>
        <w:t xml:space="preserve">Umidade: adequado para a faixa de umidade encontrada por aplicação; ambiente sem condensação.</w:t>
      </w:r>
    </w:p>
    <w:p w14:paraId="68FF3C31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Caixa protetora:</w:t>
      </w:r>
    </w:p>
    <w:p w14:paraId="22B50AD4" w14:textId="77777777" w:rsidR="003158AA" w:rsidRDefault="003158AA" w:rsidP="003158AA">
      <w:pPr>
        <w:pStyle w:val="PR2"/>
      </w:pPr>
      <w:r>
        <w:t xml:space="preserve">Adequado para condições do ambiente encontradas pela aplicação.</w:t>
      </w:r>
    </w:p>
    <w:p w14:paraId="166D377E" w14:textId="77777777" w:rsidR="003158AA" w:rsidRDefault="003158AA" w:rsidP="003158AA">
      <w:pPr>
        <w:pStyle w:val="PR2"/>
      </w:pPr>
      <w:r>
        <w:t xml:space="preserve">NEMA Tipo 2 para aplicações em recinto fechado e protegidas.</w:t>
      </w:r>
    </w:p>
    <w:p w14:paraId="76F69365" w14:textId="77777777" w:rsidR="003158AA" w:rsidRDefault="003158AA" w:rsidP="003158AA">
      <w:pPr>
        <w:pStyle w:val="PR2"/>
      </w:pPr>
      <w:r>
        <w:t xml:space="preserve">NEMA Tipo 4 ou Tipo 4X para aplicações no exterior e sem proteção.</w:t>
      </w:r>
    </w:p>
    <w:p w14:paraId="6C81737D" w14:textId="77777777" w:rsidR="003158AA" w:rsidRDefault="003158AA" w:rsidP="003158AA">
      <w:pPr>
        <w:pStyle w:val="PR2"/>
      </w:pPr>
      <w:r>
        <w:t xml:space="preserve">Fornecer a caixa protetora do atuador com aquecedor e controle onde for necessário pela aplicação.</w:t>
      </w:r>
    </w:p>
    <w:p w14:paraId="3D386E88" w14:textId="77777777" w:rsidR="003158AA" w:rsidRDefault="003158AA" w:rsidP="003158AA">
      <w:pPr>
        <w:pStyle w:val="PR1"/>
        <w:numPr>
          <w:ilvl w:val="4"/>
          <w:numId w:val="1"/>
        </w:numPr>
      </w:pPr>
      <w:r>
        <w:t xml:space="preserve">Tempo de curso:</w:t>
      </w:r>
    </w:p>
    <w:p w14:paraId="38F53571" w14:textId="77777777" w:rsidR="003158AA" w:rsidRPr="00AA36EB" w:rsidRDefault="003158AA" w:rsidP="003158AA">
      <w:pPr>
        <w:pStyle w:val="PR2"/>
      </w:pPr>
      <w:r>
        <w:t xml:space="preserve">Operar a válvula de totalmente fechada para totalmente aberta em [</w:t>
      </w:r>
      <w:r>
        <w:rPr>
          <w:b/>
        </w:rPr>
        <w:t xml:space="preserve">15</w:t>
      </w:r>
      <w:r>
        <w:t xml:space="preserve">] [</w:t>
      </w:r>
      <w:r>
        <w:rPr>
          <w:b/>
        </w:rPr>
        <w:t xml:space="preserve">35</w:t>
      </w:r>
      <w:r>
        <w:t xml:space="preserve">] [</w:t>
      </w:r>
      <w:r>
        <w:rPr>
          <w:b/>
        </w:rPr>
        <w:t xml:space="preserve">60</w:t>
      </w:r>
      <w:r>
        <w:t xml:space="preserve">] [</w:t>
      </w:r>
      <w:r>
        <w:rPr>
          <w:b/>
        </w:rPr>
        <w:t xml:space="preserve">75</w:t>
      </w:r>
      <w:r>
        <w:t xml:space="preserve">] [</w:t>
      </w:r>
      <w:r>
        <w:rPr>
          <w:b/>
        </w:rPr>
        <w:t xml:space="preserve">90</w:t>
      </w:r>
      <w:r>
        <w:t xml:space="preserve">] [</w:t>
      </w:r>
      <w:r>
        <w:rPr>
          <w:b/>
        </w:rPr>
        <w:t xml:space="preserve">150</w:t>
      </w:r>
      <w:r>
        <w:t xml:space="preserve">] &lt;</w:t>
      </w:r>
      <w:r>
        <w:rPr>
          <w:b/>
        </w:rPr>
        <w:t xml:space="preserve">Inserir</w:t>
      </w:r>
      <w:r>
        <w:rPr>
          <w:b/>
        </w:rPr>
        <w:t xml:space="preserve"> </w:t>
      </w:r>
    </w:p>
    <w:p w14:paraId="32100851" w14:textId="77777777" w:rsidR="003158AA" w:rsidRDefault="003158AA" w:rsidP="003158AA">
      <w:pPr>
        <w:pStyle w:val="PR2"/>
      </w:pPr>
      <w:r>
        <w:t xml:space="preserve">Operar a válvula de totalmente aberta a totalmente fechada em [</w:t>
      </w:r>
      <w:r>
        <w:rPr>
          <w:b/>
        </w:rPr>
        <w:t xml:space="preserve">15</w:t>
      </w:r>
      <w:r>
        <w:t xml:space="preserve">] [</w:t>
      </w:r>
      <w:r>
        <w:rPr>
          <w:b/>
        </w:rPr>
        <w:t xml:space="preserve">35</w:t>
      </w:r>
      <w:r>
        <w:t xml:space="preserve">] [</w:t>
      </w:r>
      <w:r>
        <w:rPr>
          <w:b/>
        </w:rPr>
        <w:t xml:space="preserve">60</w:t>
      </w:r>
      <w:r>
        <w:t xml:space="preserve">] [</w:t>
      </w:r>
      <w:r>
        <w:rPr>
          <w:b/>
        </w:rPr>
        <w:t xml:space="preserve">75</w:t>
      </w:r>
      <w:r>
        <w:t xml:space="preserve">] [</w:t>
      </w:r>
      <w:r>
        <w:rPr>
          <w:b/>
        </w:rPr>
        <w:t xml:space="preserve">90</w:t>
      </w:r>
      <w:r>
        <w:t xml:space="preserve">] [</w:t>
      </w:r>
      <w:r>
        <w:rPr>
          <w:b/>
        </w:rPr>
        <w:t xml:space="preserve">150</w:t>
      </w:r>
      <w:r>
        <w:t xml:space="preserve">] &lt;</w:t>
      </w:r>
      <w:r>
        <w:rPr>
          <w:b/>
        </w:rPr>
        <w:t xml:space="preserve">Inserir número</w:t>
      </w:r>
      <w:r>
        <w:t xml:space="preserve">&gt; segundos.</w:t>
      </w:r>
    </w:p>
    <w:p w14:paraId="2C1BE438" w14:textId="77777777" w:rsidR="003158AA" w:rsidRDefault="003158AA" w:rsidP="003158AA">
      <w:pPr>
        <w:pStyle w:val="PR2"/>
      </w:pPr>
      <w:r>
        <w:t xml:space="preserve">Mover a válvula para a posição de falha em [</w:t>
      </w:r>
      <w:r>
        <w:rPr>
          <w:b/>
        </w:rPr>
        <w:t xml:space="preserve">5</w:t>
      </w:r>
      <w:r>
        <w:t xml:space="preserve">] [</w:t>
      </w:r>
      <w:r>
        <w:rPr>
          <w:b/>
        </w:rPr>
        <w:t xml:space="preserve">15</w:t>
      </w:r>
      <w:r>
        <w:t xml:space="preserve">] [</w:t>
      </w:r>
      <w:r>
        <w:rPr>
          <w:b/>
        </w:rPr>
        <w:t xml:space="preserve">30</w:t>
      </w:r>
      <w:r>
        <w:t xml:space="preserve">] &lt;</w:t>
      </w:r>
      <w:r>
        <w:rPr>
          <w:b/>
        </w:rPr>
        <w:t xml:space="preserve">Inserir número</w:t>
      </w:r>
      <w:r>
        <w:t xml:space="preserve">&gt; segundos.</w:t>
      </w:r>
    </w:p>
    <w:p w14:paraId="450EF52F" w14:textId="77777777" w:rsidR="003158AA" w:rsidRDefault="003158AA" w:rsidP="003158AA">
      <w:pPr>
        <w:pStyle w:val="PR2"/>
        <w:numPr>
          <w:ilvl w:val="0"/>
          <w:numId w:val="0"/>
        </w:numPr>
        <w:ind w:left="1440"/>
      </w:pPr>
    </w:p>
    <w:p w14:paraId="69E0F8CB" w14:textId="77777777" w:rsidR="003158AA" w:rsidRDefault="003158AA" w:rsidP="003158AA">
      <w:pPr>
        <w:pStyle w:val="PR2"/>
        <w:numPr>
          <w:ilvl w:val="4"/>
          <w:numId w:val="1"/>
        </w:numPr>
      </w:pPr>
      <w:r>
        <w:t xml:space="preserve">Selecionar a velocidade de operação para ser compatível com o funcionamento do equipamento e do sistema.</w:t>
      </w:r>
    </w:p>
    <w:sectPr w:rsidR="003158A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F5878" w14:textId="77777777" w:rsidR="001074F0" w:rsidRDefault="001074F0" w:rsidP="0059760C">
      <w:pPr>
        <w:spacing w:after="0" w:line="240" w:lineRule="auto"/>
      </w:pPr>
      <w:r>
        <w:separator/>
      </w:r>
    </w:p>
  </w:endnote>
  <w:endnote w:type="continuationSeparator" w:id="0">
    <w:p w14:paraId="27EC59DC" w14:textId="77777777" w:rsidR="001074F0" w:rsidRDefault="001074F0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B6CA9" w14:textId="78B8DE58" w:rsidR="0059760C" w:rsidRDefault="007D68E0">
    <w:pPr>
      <w:pStyle w:val="Footer"/>
    </w:pPr>
    <w:r>
      <w:t xml:space="preserve">válvulas globo (01062022)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66DE5" w14:textId="77777777" w:rsidR="001074F0" w:rsidRDefault="001074F0" w:rsidP="0059760C">
      <w:pPr>
        <w:spacing w:after="0" w:line="240" w:lineRule="auto"/>
      </w:pPr>
      <w:r>
        <w:separator/>
      </w:r>
    </w:p>
  </w:footnote>
  <w:footnote w:type="continuationSeparator" w:id="0">
    <w:p w14:paraId="01AC2500" w14:textId="77777777" w:rsidR="001074F0" w:rsidRDefault="001074F0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E63AB" w14:textId="77777777" w:rsidR="009140D0" w:rsidRDefault="009140D0">
    <w:pPr>
      <w:pStyle w:val="Header"/>
    </w:pPr>
    <w:r>
      <w:rPr>
        <w:noProof/>
      </w:rPr>
      <w:pict w14:anchorId="2D43D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91.05pt;margin-top:-7.9pt;width:108pt;height:43.35pt;z-index:1">
          <v:imagedata r:id="rId1" o:title="NEWBeljpe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E642F9E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eastAsia="Times New Roman" w:hAnsi="Times New Roman" w:cs="Times New Roman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2"/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864"/>
    <w:rsid w:val="000239F6"/>
    <w:rsid w:val="00025006"/>
    <w:rsid w:val="00040192"/>
    <w:rsid w:val="000741EF"/>
    <w:rsid w:val="0008475A"/>
    <w:rsid w:val="00084DE6"/>
    <w:rsid w:val="000931DE"/>
    <w:rsid w:val="000A31E2"/>
    <w:rsid w:val="000A7C91"/>
    <w:rsid w:val="000E043A"/>
    <w:rsid w:val="000E68A7"/>
    <w:rsid w:val="001074F0"/>
    <w:rsid w:val="001079FA"/>
    <w:rsid w:val="00117CF6"/>
    <w:rsid w:val="0012721F"/>
    <w:rsid w:val="00141753"/>
    <w:rsid w:val="00150F9F"/>
    <w:rsid w:val="0019270A"/>
    <w:rsid w:val="001B4C40"/>
    <w:rsid w:val="001B557A"/>
    <w:rsid w:val="001C7631"/>
    <w:rsid w:val="001D62EF"/>
    <w:rsid w:val="001D776E"/>
    <w:rsid w:val="001F6096"/>
    <w:rsid w:val="001F620D"/>
    <w:rsid w:val="001F6E2D"/>
    <w:rsid w:val="0020748D"/>
    <w:rsid w:val="0027208D"/>
    <w:rsid w:val="002756A5"/>
    <w:rsid w:val="002770D7"/>
    <w:rsid w:val="00295768"/>
    <w:rsid w:val="002D5699"/>
    <w:rsid w:val="002E1D00"/>
    <w:rsid w:val="002E43DB"/>
    <w:rsid w:val="002F3A27"/>
    <w:rsid w:val="003158AA"/>
    <w:rsid w:val="0031774A"/>
    <w:rsid w:val="0032484F"/>
    <w:rsid w:val="00370616"/>
    <w:rsid w:val="003A7269"/>
    <w:rsid w:val="003B0D10"/>
    <w:rsid w:val="003E0D17"/>
    <w:rsid w:val="003F131F"/>
    <w:rsid w:val="00400FC7"/>
    <w:rsid w:val="00411600"/>
    <w:rsid w:val="004131EA"/>
    <w:rsid w:val="00421DF6"/>
    <w:rsid w:val="00436D77"/>
    <w:rsid w:val="00457B15"/>
    <w:rsid w:val="00465811"/>
    <w:rsid w:val="0047629E"/>
    <w:rsid w:val="00485213"/>
    <w:rsid w:val="00495087"/>
    <w:rsid w:val="004C068F"/>
    <w:rsid w:val="00503A1A"/>
    <w:rsid w:val="0053443E"/>
    <w:rsid w:val="005468F2"/>
    <w:rsid w:val="005531C7"/>
    <w:rsid w:val="0059760C"/>
    <w:rsid w:val="005A7700"/>
    <w:rsid w:val="005B180F"/>
    <w:rsid w:val="00613A44"/>
    <w:rsid w:val="0068547D"/>
    <w:rsid w:val="006A12D5"/>
    <w:rsid w:val="006A3577"/>
    <w:rsid w:val="006A44B4"/>
    <w:rsid w:val="007074D7"/>
    <w:rsid w:val="00707BD0"/>
    <w:rsid w:val="00710319"/>
    <w:rsid w:val="00735B98"/>
    <w:rsid w:val="00750D51"/>
    <w:rsid w:val="00751973"/>
    <w:rsid w:val="00753AD5"/>
    <w:rsid w:val="007618ED"/>
    <w:rsid w:val="007D68E0"/>
    <w:rsid w:val="007F1664"/>
    <w:rsid w:val="0083254A"/>
    <w:rsid w:val="00836FBF"/>
    <w:rsid w:val="00847374"/>
    <w:rsid w:val="00850BE4"/>
    <w:rsid w:val="00851BC6"/>
    <w:rsid w:val="00887EAD"/>
    <w:rsid w:val="008B2DCE"/>
    <w:rsid w:val="008B4DFB"/>
    <w:rsid w:val="008B746C"/>
    <w:rsid w:val="008F133D"/>
    <w:rsid w:val="00902171"/>
    <w:rsid w:val="00906571"/>
    <w:rsid w:val="009140D0"/>
    <w:rsid w:val="009449CA"/>
    <w:rsid w:val="00951292"/>
    <w:rsid w:val="00962252"/>
    <w:rsid w:val="00990191"/>
    <w:rsid w:val="009D1397"/>
    <w:rsid w:val="009D5A0E"/>
    <w:rsid w:val="009F3889"/>
    <w:rsid w:val="009F7391"/>
    <w:rsid w:val="00A203CE"/>
    <w:rsid w:val="00A45680"/>
    <w:rsid w:val="00A53315"/>
    <w:rsid w:val="00A55782"/>
    <w:rsid w:val="00A67553"/>
    <w:rsid w:val="00A90369"/>
    <w:rsid w:val="00AA36EB"/>
    <w:rsid w:val="00AA78CB"/>
    <w:rsid w:val="00AD5515"/>
    <w:rsid w:val="00AE57DC"/>
    <w:rsid w:val="00B0031C"/>
    <w:rsid w:val="00B62040"/>
    <w:rsid w:val="00B7104F"/>
    <w:rsid w:val="00B76B12"/>
    <w:rsid w:val="00B85502"/>
    <w:rsid w:val="00B87807"/>
    <w:rsid w:val="00B93BE3"/>
    <w:rsid w:val="00BA3AA5"/>
    <w:rsid w:val="00BC0F25"/>
    <w:rsid w:val="00BC2914"/>
    <w:rsid w:val="00BD095F"/>
    <w:rsid w:val="00BD6DD1"/>
    <w:rsid w:val="00BE648A"/>
    <w:rsid w:val="00BF3003"/>
    <w:rsid w:val="00C02916"/>
    <w:rsid w:val="00C22794"/>
    <w:rsid w:val="00C72E4A"/>
    <w:rsid w:val="00C75A8D"/>
    <w:rsid w:val="00C8535C"/>
    <w:rsid w:val="00CC71EF"/>
    <w:rsid w:val="00CE4591"/>
    <w:rsid w:val="00CF3E48"/>
    <w:rsid w:val="00D17084"/>
    <w:rsid w:val="00D24439"/>
    <w:rsid w:val="00D26D7C"/>
    <w:rsid w:val="00D56ABE"/>
    <w:rsid w:val="00D75193"/>
    <w:rsid w:val="00DA529F"/>
    <w:rsid w:val="00DC6786"/>
    <w:rsid w:val="00DC7E28"/>
    <w:rsid w:val="00DF11E2"/>
    <w:rsid w:val="00E21C60"/>
    <w:rsid w:val="00E75AC2"/>
    <w:rsid w:val="00E9052B"/>
    <w:rsid w:val="00E90864"/>
    <w:rsid w:val="00E91450"/>
    <w:rsid w:val="00EA6371"/>
    <w:rsid w:val="00EB3CA1"/>
    <w:rsid w:val="00EC3047"/>
    <w:rsid w:val="00EF6D9F"/>
    <w:rsid w:val="00F10ED8"/>
    <w:rsid w:val="00F176CB"/>
    <w:rsid w:val="00F34B5A"/>
    <w:rsid w:val="00F42E3E"/>
    <w:rsid w:val="00F649C5"/>
    <w:rsid w:val="00F929C2"/>
    <w:rsid w:val="00FD7E8F"/>
    <w:rsid w:val="00FE0593"/>
    <w:rsid w:val="00FE3C6D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B5BDCE"/>
  <w15:chartTrackingRefBased/>
  <w15:docId w15:val="{4306FF41-D0F5-40E2-B1E0-B32AC972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Pr>
      <w:rFonts w:ascii="Calibri" w:hAnsi="Calibri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  <w:rPr>
      <w:rFonts w:ascii="Calibri" w:hAnsi="Calibri"/>
    </w:r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  <w:rPr>
      <w:rFonts w:ascii="Calibri" w:hAnsi="Calibri"/>
    </w:rPr>
  </w:style>
  <w:style w:type="character" w:customStyle="1" w:styleId="NAM">
    <w:name w:val="NAM"/>
    <w:rsid w:val="00BC2914"/>
    <w:rPr>
      <w:rFonts w:ascii="Calibri" w:hAnsi="Calibri"/>
    </w:rPr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B79EE3A8DA54C88D5C4EACC126410" ma:contentTypeVersion="6" ma:contentTypeDescription="Create a new document." ma:contentTypeScope="" ma:versionID="50e99a18427fa5e9935601e671525d40">
  <xsd:schema xmlns:xsd="http://www.w3.org/2001/XMLSchema" xmlns:xs="http://www.w3.org/2001/XMLSchema" xmlns:p="http://schemas.microsoft.com/office/2006/metadata/properties" xmlns:ns2="19ebd1bb-8645-4eb5-84ed-49ecbcc43a56" xmlns:ns3="796cc898-eb98-4b31-bebe-be8fdbeac870" targetNamespace="http://schemas.microsoft.com/office/2006/metadata/properties" ma:root="true" ma:fieldsID="3e247360627b78dd21ca07188334f864" ns2:_="" ns3:_="">
    <xsd:import namespace="19ebd1bb-8645-4eb5-84ed-49ecbcc43a56"/>
    <xsd:import namespace="796cc898-eb98-4b31-bebe-be8fdbeac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d1bb-8645-4eb5-84ed-49ecbcc43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c898-eb98-4b31-bebe-be8fdbeac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8F184-D496-4D5A-807F-4FCB756536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F503E-B162-4AE2-92DE-6EDC7D77F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bd1bb-8645-4eb5-84ed-49ecbcc43a56"/>
    <ds:schemaRef ds:uri="796cc898-eb98-4b31-bebe-be8fdbeac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6D2A6-15D1-49F0-80E8-62E2A267C4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3F759-44D0-405F-B448-B01313C2A2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cp:lastModifiedBy>Walker, Robert</cp:lastModifiedBy>
  <cp:revision>2</cp:revision>
  <cp:lastPrinted>2017-04-21T14:09:00Z</cp:lastPrinted>
  <dcterms:created xsi:type="dcterms:W3CDTF">2022-01-06T14:22:00Z</dcterms:created>
  <dcterms:modified xsi:type="dcterms:W3CDTF">2022-01-06T14:22:00Z</dcterms:modified>
</cp:coreProperties>
</file>