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B985" w14:textId="77777777" w:rsidR="00D07766" w:rsidRDefault="002F75E5">
      <w:pPr>
        <w:pStyle w:val="Title"/>
      </w:pPr>
      <w:r>
        <w:t xml:space="preserve">Section</w:t>
      </w:r>
      <w:r>
        <w:rPr>
          <w:spacing w:val="-7"/>
        </w:rPr>
        <w:t xml:space="preserve"> </w:t>
      </w:r>
      <w:r>
        <w:t xml:space="preserve">237413</w:t>
      </w:r>
      <w:r>
        <w:rPr>
          <w:spacing w:val="-8"/>
        </w:rPr>
        <w:t xml:space="preserve"> </w:t>
      </w:r>
      <w:r>
        <w:t xml:space="preserve">–</w:t>
      </w:r>
      <w:r>
        <w:rPr>
          <w:spacing w:val="-8"/>
        </w:rPr>
        <w:t xml:space="preserve"> APPAREILS </w:t>
      </w:r>
      <w:r>
        <w:t xml:space="preserve">DE TRAITEMENT D'AIR, AUTONOMES, EXTÉRIEURS, POSTE CENTRAL</w:t>
      </w:r>
    </w:p>
    <w:p w14:paraId="31CAF66A" w14:textId="77777777" w:rsidR="00D07766" w:rsidRDefault="00D07766">
      <w:pPr>
        <w:pStyle w:val="BodyText"/>
        <w:spacing w:before="8"/>
        <w:ind w:left="0"/>
        <w:rPr>
          <w:b/>
          <w:sz w:val="11"/>
        </w:rPr>
      </w:pPr>
    </w:p>
    <w:p w14:paraId="525C04D7" w14:textId="77777777" w:rsidR="00D07766" w:rsidRDefault="002F75E5">
      <w:pPr>
        <w:pStyle w:val="BodyText"/>
        <w:tabs>
          <w:tab w:val="left" w:pos="8769"/>
        </w:tabs>
        <w:spacing w:before="94"/>
        <w:ind w:left="100"/>
      </w:pPr>
      <w:r>
        <w:rPr>
          <w:color w:val="000000"/>
          <w:shd w:val="clear" w:color="auto" w:fill="CCCCCC"/>
        </w:rPr>
        <w:t xml:space="preserve">Le texte suivant remplace les paragraphes 2.10.C.11 et 2.10.C.12.</w:t>
      </w:r>
      <w:r>
        <w:rPr>
          <w:color w:val="000000"/>
          <w:shd w:val="clear" w:color="auto" w:fill="CCCCCC"/>
        </w:rPr>
        <w:tab/>
      </w:r>
    </w:p>
    <w:p w14:paraId="2F329F1F" w14:textId="77777777" w:rsidR="00D07766" w:rsidRDefault="00D07766">
      <w:pPr>
        <w:pStyle w:val="BodyText"/>
        <w:spacing w:before="1"/>
        <w:ind w:left="0"/>
      </w:pPr>
    </w:p>
    <w:p w14:paraId="440F3B22" w14:textId="77777777" w:rsidR="00D07766" w:rsidRDefault="002F75E5">
      <w:pPr>
        <w:pStyle w:val="BodyText"/>
        <w:tabs>
          <w:tab w:val="left" w:pos="819"/>
        </w:tabs>
        <w:ind w:left="100"/>
      </w:pPr>
      <w:r>
        <w:rPr>
          <w:spacing w:val="-4"/>
        </w:rPr>
        <w:t xml:space="preserve">2.10</w:t>
      </w:r>
      <w:r>
        <w:tab/>
        <w:t xml:space="preserve">COMMANDES</w:t>
      </w:r>
    </w:p>
    <w:p w14:paraId="175C5D26" w14:textId="77777777" w:rsidR="00D07766" w:rsidRDefault="00D07766">
      <w:pPr>
        <w:pStyle w:val="BodyText"/>
        <w:spacing w:before="11"/>
        <w:ind w:left="0"/>
        <w:rPr>
          <w:sz w:val="19"/>
        </w:rPr>
      </w:pPr>
    </w:p>
    <w:p w14:paraId="4D6E2D75" w14:textId="77777777" w:rsidR="00D07766" w:rsidRDefault="002F75E5">
      <w:pPr>
        <w:pStyle w:val="ListParagraph"/>
        <w:numPr>
          <w:ilvl w:val="0"/>
          <w:numId w:val="3"/>
        </w:numPr>
        <w:tabs>
          <w:tab w:val="left" w:pos="1181"/>
        </w:tabs>
        <w:ind w:hanging="362"/>
        <w:rPr>
          <w:sz w:val="20"/>
        </w:rPr>
      </w:pPr>
      <w:r>
        <w:rPr>
          <w:spacing w:val="-2"/>
          <w:sz w:val="20"/>
        </w:rPr>
        <w:t xml:space="preserve">Régulateur</w:t>
      </w:r>
    </w:p>
    <w:p w14:paraId="16D2B341" w14:textId="77777777" w:rsidR="00D07766" w:rsidRDefault="00D07766">
      <w:pPr>
        <w:pStyle w:val="BodyText"/>
        <w:spacing w:before="11"/>
        <w:ind w:left="0"/>
        <w:rPr>
          <w:sz w:val="19"/>
        </w:rPr>
      </w:pPr>
    </w:p>
    <w:p w14:paraId="2C337E9C" w14:textId="77777777" w:rsidR="00D07766" w:rsidRDefault="002F75E5">
      <w:pPr>
        <w:pStyle w:val="ListParagraph"/>
        <w:numPr>
          <w:ilvl w:val="1"/>
          <w:numId w:val="3"/>
        </w:numPr>
        <w:tabs>
          <w:tab w:val="left" w:pos="1451"/>
        </w:tabs>
        <w:ind w:hanging="362"/>
        <w:rPr>
          <w:sz w:val="20"/>
        </w:rPr>
      </w:pPr>
      <w:r>
        <w:rPr>
          <w:sz w:val="20"/>
        </w:rPr>
        <w:t xml:space="preserve">Fonctionnement du registre d'air extérieur de l'économiseur :</w:t>
      </w:r>
    </w:p>
    <w:p w14:paraId="4E8CF0C7" w14:textId="77777777" w:rsidR="00D07766" w:rsidRDefault="00D07766">
      <w:pPr>
        <w:pStyle w:val="BodyText"/>
        <w:ind w:left="0"/>
      </w:pPr>
    </w:p>
    <w:p w14:paraId="0FFDCE6C" w14:textId="77777777" w:rsidR="00D07766" w:rsidRDefault="002F75E5">
      <w:pPr>
        <w:pStyle w:val="ListParagraph"/>
        <w:numPr>
          <w:ilvl w:val="2"/>
          <w:numId w:val="3"/>
        </w:numPr>
        <w:tabs>
          <w:tab w:val="left" w:pos="1900"/>
        </w:tabs>
        <w:ind w:hanging="361"/>
        <w:jc w:val="both"/>
        <w:rPr>
          <w:sz w:val="20"/>
        </w:rPr>
      </w:pPr>
      <w:r>
        <w:rPr>
          <w:sz w:val="20"/>
        </w:rPr>
        <w:t xml:space="preserve">Fabrication, étiquetage ou distribution effectués par BELIMO.</w:t>
      </w:r>
    </w:p>
    <w:p w14:paraId="16E4CDB1" w14:textId="77777777" w:rsidR="00D07766" w:rsidRDefault="002F75E5">
      <w:pPr>
        <w:pStyle w:val="ListParagraph"/>
        <w:numPr>
          <w:ilvl w:val="2"/>
          <w:numId w:val="3"/>
        </w:numPr>
        <w:tabs>
          <w:tab w:val="left" w:pos="1901"/>
        </w:tabs>
        <w:ind w:right="684"/>
        <w:jc w:val="both"/>
        <w:rPr>
          <w:sz w:val="20"/>
        </w:rPr>
      </w:pPr>
      <w:r>
        <w:rPr>
          <w:sz w:val="20"/>
        </w:rPr>
        <w:t xml:space="preserve">L'économiseur doit comprendre une stratégie de régulation à bulbe sec unique, à bulbe sec différentiel, à enthalpie unique ou à enthalpie différentielle, selon les besoins, conformément à la norme ASHRAE</w:t>
      </w:r>
    </w:p>
    <w:p w14:paraId="62B3CB93" w14:textId="77777777" w:rsidR="00D07766" w:rsidRDefault="002F75E5">
      <w:pPr>
        <w:pStyle w:val="BodyText"/>
        <w:spacing w:line="230" w:lineRule="exact"/>
        <w:jc w:val="both"/>
      </w:pPr>
      <w:r>
        <w:t xml:space="preserve">90.1.</w:t>
      </w:r>
      <w:r>
        <w:rPr>
          <w:spacing w:val="-6"/>
        </w:rPr>
        <w:t xml:space="preserve"> </w:t>
      </w:r>
      <w:r>
        <w:t xml:space="preserve">Les appareils de détection ne doivent pas être exclusifs.</w:t>
      </w:r>
    </w:p>
    <w:p w14:paraId="2695C329" w14:textId="77777777" w:rsidR="00D07766" w:rsidRDefault="002F75E5">
      <w:pPr>
        <w:pStyle w:val="ListParagraph"/>
        <w:numPr>
          <w:ilvl w:val="2"/>
          <w:numId w:val="3"/>
        </w:numPr>
        <w:tabs>
          <w:tab w:val="left" w:pos="1900"/>
        </w:tabs>
        <w:spacing w:before="1"/>
        <w:ind w:right="607"/>
        <w:jc w:val="both"/>
        <w:rPr>
          <w:sz w:val="20"/>
        </w:rPr>
      </w:pPr>
      <w:r>
        <w:rPr>
          <w:sz w:val="20"/>
        </w:rPr>
        <w:t xml:space="preserve">La sélection de la zone climatique ASHRAE pour le réglage de la limite supérieure doit se faire en saisissant le code postal de l'emplacement dans l'IHM sans utiliser de documentation imprimée.</w:t>
      </w:r>
    </w:p>
    <w:p w14:paraId="5A6CBFEE" w14:textId="77777777" w:rsidR="00D07766" w:rsidRDefault="002F75E5">
      <w:pPr>
        <w:pStyle w:val="ListParagraph"/>
        <w:numPr>
          <w:ilvl w:val="2"/>
          <w:numId w:val="3"/>
        </w:numPr>
        <w:tabs>
          <w:tab w:val="left" w:pos="1900"/>
        </w:tabs>
        <w:ind w:right="795"/>
        <w:jc w:val="left"/>
        <w:rPr>
          <w:sz w:val="20"/>
        </w:rPr>
      </w:pPr>
      <w:r>
        <w:rPr>
          <w:sz w:val="20"/>
        </w:rPr>
        <w:t xml:space="preserve">L'appareil doit comporter une protection contre les baisses de tension qui empêchera les compresseurs de fonctionner dans des conditions de basse tension tout en restant sous contrôle.</w:t>
      </w:r>
      <w:r>
        <w:rPr>
          <w:spacing w:val="40"/>
          <w:sz w:val="20"/>
        </w:rPr>
        <w:t xml:space="preserve"> </w:t>
      </w:r>
      <w:r>
        <w:rPr>
          <w:sz w:val="20"/>
        </w:rPr>
        <w:t xml:space="preserve">Lors d'un démarrage après une baisse de tension ou une panne de courant, l'appareil doit pouvoir faire une mise en marche aléatoire automatique pour éviter une surcharge électrique due au démarrage de plusieurs compresseurs.</w:t>
      </w:r>
    </w:p>
    <w:p w14:paraId="190BE49B" w14:textId="77777777" w:rsidR="00D07766" w:rsidRDefault="002F75E5">
      <w:pPr>
        <w:pStyle w:val="ListParagraph"/>
        <w:numPr>
          <w:ilvl w:val="2"/>
          <w:numId w:val="3"/>
        </w:numPr>
        <w:tabs>
          <w:tab w:val="left" w:pos="1901"/>
        </w:tabs>
        <w:ind w:right="563" w:hanging="361"/>
        <w:jc w:val="left"/>
        <w:rPr>
          <w:sz w:val="20"/>
        </w:rPr>
      </w:pPr>
      <w:r>
        <w:rPr>
          <w:sz w:val="20"/>
        </w:rPr>
        <w:t xml:space="preserve">Les alarmes de détection et de diagnostic des anomalies doivent être indiquées à la fois par un indicateur visuel à DEL et par une description textuelle accessible par l'IHM.</w:t>
      </w:r>
      <w:r>
        <w:rPr>
          <w:spacing w:val="40"/>
          <w:sz w:val="20"/>
        </w:rPr>
        <w:t xml:space="preserve"> </w:t>
      </w:r>
      <w:r>
        <w:rPr>
          <w:sz w:val="20"/>
        </w:rPr>
        <w:t xml:space="preserve">Les alarmes actuelles et historiques (y compris le temps écoulé depuis leur apparition) doivent être accessibles dans l'IHM.</w:t>
      </w:r>
      <w:r>
        <w:rPr>
          <w:spacing w:val="40"/>
          <w:sz w:val="20"/>
        </w:rPr>
        <w:t xml:space="preserve"> </w:t>
      </w:r>
      <w:r>
        <w:rPr>
          <w:sz w:val="20"/>
        </w:rPr>
        <w:t xml:space="preserve">En cas de défaillance du capteur, l'économiseur doit automatiquement détecter la séquence appropriée pour maintenir le contrôle.</w:t>
      </w:r>
    </w:p>
    <w:p w14:paraId="784DCB4C" w14:textId="77777777" w:rsidR="00D07766" w:rsidRDefault="002F75E5">
      <w:pPr>
        <w:pStyle w:val="ListParagraph"/>
        <w:numPr>
          <w:ilvl w:val="2"/>
          <w:numId w:val="3"/>
        </w:numPr>
        <w:tabs>
          <w:tab w:val="left" w:pos="1900"/>
          <w:tab w:val="left" w:pos="1901"/>
        </w:tabs>
        <w:ind w:right="974"/>
        <w:jc w:val="left"/>
        <w:rPr>
          <w:sz w:val="20"/>
        </w:rPr>
      </w:pPr>
      <w:r>
        <w:rPr>
          <w:sz w:val="20"/>
        </w:rPr>
        <w:t xml:space="preserve">L'appareil doit être conforme aux codes d'énergie les plus récents suivants : ASHRAE 90.1, code CA Title 24 et NECB.</w:t>
      </w:r>
    </w:p>
    <w:p w14:paraId="5B7D1D44" w14:textId="77777777" w:rsidR="00D07766" w:rsidRDefault="002F75E5">
      <w:pPr>
        <w:pStyle w:val="ListParagraph"/>
        <w:numPr>
          <w:ilvl w:val="2"/>
          <w:numId w:val="3"/>
        </w:numPr>
        <w:tabs>
          <w:tab w:val="left" w:pos="1901"/>
        </w:tabs>
        <w:ind w:right="651"/>
        <w:jc w:val="left"/>
        <w:rPr>
          <w:sz w:val="20"/>
        </w:rPr>
      </w:pPr>
      <w:r>
        <w:rPr>
          <w:sz w:val="20"/>
        </w:rPr>
        <w:t xml:space="preserve">Le fabricant s’engage à garantir tous les composants pour une période de 5 ans à partir de la date de production, dont les deux premières années sans condition.</w:t>
      </w:r>
    </w:p>
    <w:p w14:paraId="69D8A0E1" w14:textId="77777777" w:rsidR="00D07766" w:rsidRDefault="002F75E5">
      <w:pPr>
        <w:pStyle w:val="ListParagraph"/>
        <w:numPr>
          <w:ilvl w:val="2"/>
          <w:numId w:val="3"/>
        </w:numPr>
        <w:tabs>
          <w:tab w:val="left" w:pos="1901"/>
        </w:tabs>
        <w:spacing w:line="230" w:lineRule="exact"/>
        <w:ind w:left="1900" w:hanging="362"/>
        <w:jc w:val="left"/>
        <w:rPr>
          <w:sz w:val="20"/>
        </w:rPr>
      </w:pPr>
      <w:r>
        <w:rPr>
          <w:sz w:val="20"/>
        </w:rPr>
        <w:t xml:space="preserve">Périodes d'occupation.</w:t>
      </w:r>
    </w:p>
    <w:p w14:paraId="36A0B626" w14:textId="77777777" w:rsidR="00D07766" w:rsidRDefault="002F75E5">
      <w:pPr>
        <w:pStyle w:val="ListParagraph"/>
        <w:numPr>
          <w:ilvl w:val="2"/>
          <w:numId w:val="3"/>
        </w:numPr>
        <w:tabs>
          <w:tab w:val="left" w:pos="2621"/>
        </w:tabs>
        <w:ind w:left="2619" w:right="500" w:hanging="280"/>
        <w:jc w:val="left"/>
        <w:rPr>
          <w:sz w:val="20"/>
        </w:rPr>
      </w:pPr>
      <w:r>
        <w:rPr>
          <w:sz w:val="20"/>
        </w:rPr>
        <w:t xml:space="preserve">Ouvert à </w:t>
      </w:r>
      <w:r>
        <w:rPr>
          <w:b/>
          <w:sz w:val="20"/>
        </w:rPr>
        <w:t xml:space="preserve">[10] [25] &lt;Insérer le pourcentage</w:t>
      </w:r>
      <w:r>
        <w:rPr>
          <w:sz w:val="20"/>
        </w:rPr>
        <w:t xml:space="preserve">&gt;pourcent de l'admission minimum fixe et maximum 100 pourcent de la capacité du ventilateur pour être conforme à la norme ASHRAE 90.1. Le régulateur doit permettre le fonctionnement de l'économiseur côté air lorsque la température de l'air extérieur est inférieure à la température/l'enthalpie de l'air extérieur déterminée en saisissant le code postal de l'emplacement dans l'affichage intégré.</w:t>
      </w:r>
    </w:p>
    <w:p w14:paraId="4E78A48C" w14:textId="77777777" w:rsidR="00D07766" w:rsidRDefault="002F75E5">
      <w:pPr>
        <w:pStyle w:val="ListParagraph"/>
        <w:numPr>
          <w:ilvl w:val="0"/>
          <w:numId w:val="2"/>
        </w:numPr>
        <w:tabs>
          <w:tab w:val="left" w:pos="2621"/>
        </w:tabs>
        <w:ind w:right="621" w:hanging="324"/>
        <w:rPr>
          <w:sz w:val="20"/>
        </w:rPr>
      </w:pPr>
      <w:r>
        <w:rPr>
          <w:sz w:val="20"/>
        </w:rPr>
        <w:t xml:space="preserve">Les registres de l'économiseur doivent pouvoir fonctionner en séquence avec le système de refroidissement mécanique et être capables de fournir une charge de refroidissement partielle avec le refroidissement mécanique.</w:t>
      </w:r>
    </w:p>
    <w:p w14:paraId="054D7969" w14:textId="77777777" w:rsidR="00D07766" w:rsidRDefault="002F75E5">
      <w:pPr>
        <w:pStyle w:val="ListParagraph"/>
        <w:numPr>
          <w:ilvl w:val="0"/>
          <w:numId w:val="2"/>
        </w:numPr>
        <w:tabs>
          <w:tab w:val="left" w:pos="2620"/>
        </w:tabs>
        <w:spacing w:before="1"/>
        <w:ind w:right="475" w:hanging="369"/>
        <w:rPr>
          <w:sz w:val="20"/>
        </w:rPr>
      </w:pPr>
      <w:r>
        <w:rPr>
          <w:sz w:val="20"/>
        </w:rPr>
        <w:t xml:space="preserve">La position minimale de l'admission d'air extérieur doit se réduire automatiquement lorsqu'elle atteint un point de consigne de limite supérieure prédéterminé.</w:t>
      </w:r>
      <w:r>
        <w:rPr>
          <w:spacing w:val="40"/>
          <w:sz w:val="20"/>
        </w:rPr>
        <w:t xml:space="preserve"> </w:t>
      </w:r>
      <w:r>
        <w:rPr>
          <w:sz w:val="20"/>
        </w:rPr>
        <w:t xml:space="preserve">Lorsque l'air extérieur est à 100 % et que le refroidissement mécanique est activé, le registre d'air extérieur doit se fermer pour réduire les conditions de gel si nécessaire.</w:t>
      </w:r>
    </w:p>
    <w:p w14:paraId="08376FDD" w14:textId="77777777" w:rsidR="00D07766" w:rsidRDefault="002F75E5">
      <w:pPr>
        <w:pStyle w:val="ListParagraph"/>
        <w:numPr>
          <w:ilvl w:val="0"/>
          <w:numId w:val="1"/>
        </w:numPr>
        <w:tabs>
          <w:tab w:val="left" w:pos="1900"/>
          <w:tab w:val="left" w:pos="1901"/>
        </w:tabs>
        <w:spacing w:line="229" w:lineRule="exact"/>
        <w:ind w:hanging="362"/>
        <w:rPr>
          <w:sz w:val="20"/>
        </w:rPr>
      </w:pPr>
      <w:r>
        <w:rPr>
          <w:sz w:val="20"/>
        </w:rPr>
        <w:t xml:space="preserve">Périodes d'inoccupation.</w:t>
      </w:r>
    </w:p>
    <w:p w14:paraId="51CB2609" w14:textId="77777777" w:rsidR="00D07766" w:rsidRDefault="002F75E5">
      <w:pPr>
        <w:pStyle w:val="ListParagraph"/>
        <w:numPr>
          <w:ilvl w:val="1"/>
          <w:numId w:val="1"/>
        </w:numPr>
        <w:tabs>
          <w:tab w:val="left" w:pos="2621"/>
        </w:tabs>
        <w:rPr>
          <w:sz w:val="20"/>
        </w:rPr>
      </w:pPr>
      <w:r>
        <w:rPr>
          <w:sz w:val="20"/>
        </w:rPr>
        <w:t xml:space="preserve">Fermer le registre d'air extérieur et ouvrir le registre d'air de retour.</w:t>
      </w:r>
    </w:p>
    <w:p w14:paraId="797EFC4F" w14:textId="77777777" w:rsidR="00D07766" w:rsidRDefault="002F75E5">
      <w:pPr>
        <w:pStyle w:val="ListParagraph"/>
        <w:numPr>
          <w:ilvl w:val="2"/>
          <w:numId w:val="3"/>
        </w:numPr>
        <w:tabs>
          <w:tab w:val="left" w:pos="1899"/>
          <w:tab w:val="left" w:pos="1900"/>
        </w:tabs>
        <w:spacing w:before="2" w:line="230" w:lineRule="exact"/>
        <w:ind w:hanging="361"/>
        <w:jc w:val="left"/>
        <w:rPr>
          <w:b/>
          <w:sz w:val="20"/>
        </w:rPr>
      </w:pPr>
      <w:r>
        <w:rPr>
          <w:b/>
          <w:sz w:val="20"/>
        </w:rPr>
        <w:t xml:space="preserve">[Fonctionnement du capteur de dioxyde de carbone.</w:t>
      </w:r>
    </w:p>
    <w:p w14:paraId="17A26920" w14:textId="77777777" w:rsidR="00D07766" w:rsidRDefault="002F75E5">
      <w:pPr>
        <w:pStyle w:val="ListParagraph"/>
        <w:numPr>
          <w:ilvl w:val="3"/>
          <w:numId w:val="3"/>
        </w:numPr>
        <w:tabs>
          <w:tab w:val="left" w:pos="2620"/>
        </w:tabs>
        <w:ind w:right="758"/>
        <w:rPr>
          <w:b/>
          <w:sz w:val="20"/>
        </w:rPr>
      </w:pPr>
      <w:r>
        <w:rPr>
          <w:b/>
          <w:sz w:val="20"/>
        </w:rPr>
        <w:t xml:space="preserve">Périodes d'occupation.</w:t>
      </w:r>
      <w:r>
        <w:rPr>
          <w:b/>
          <w:spacing w:val="40"/>
          <w:sz w:val="20"/>
        </w:rPr>
        <w:t xml:space="preserve"> </w:t>
      </w:r>
      <w:r>
        <w:rPr>
          <w:b/>
          <w:sz w:val="20"/>
        </w:rPr>
        <w:t xml:space="preserve">Remettre l'air extérieur minimum à [10] &lt;Insérer le pourcentage&gt; pourcent pour maintenir la concentration maximale conformément à la norme de l'ASHRAE 90.1</w:t>
      </w:r>
    </w:p>
    <w:p w14:paraId="4CA79F01" w14:textId="77777777" w:rsidR="00D07766" w:rsidRDefault="00D07766">
      <w:pPr>
        <w:rPr>
          <w:sz w:val="20"/>
        </w:rPr>
        <w:sectPr w:rsidR="00D07766">
          <w:headerReference w:type="even" r:id="rId7"/>
          <w:headerReference w:type="default" r:id="rId8"/>
          <w:footerReference w:type="even" r:id="rId9"/>
          <w:footerReference w:type="default" r:id="rId10"/>
          <w:headerReference w:type="first" r:id="rId11"/>
          <w:footerReference w:type="first" r:id="rId12"/>
          <w:type w:val="continuous"/>
          <w:pgSz w:w="12240" w:h="15840"/>
          <w:pgMar w:top="1700" w:right="1720" w:bottom="880" w:left="1340" w:header="545" w:footer="686" w:gutter="0"/>
          <w:pgNumType w:start="10"/>
          <w:cols w:space="720"/>
        </w:sectPr>
      </w:pPr>
    </w:p>
    <w:p w14:paraId="558BD3E9" w14:textId="77777777" w:rsidR="00D07766" w:rsidRDefault="002F75E5">
      <w:pPr>
        <w:pStyle w:val="ListParagraph"/>
        <w:numPr>
          <w:ilvl w:val="3"/>
          <w:numId w:val="3"/>
        </w:numPr>
        <w:tabs>
          <w:tab w:val="left" w:pos="2621"/>
        </w:tabs>
        <w:spacing w:before="84"/>
        <w:ind w:right="1067" w:hanging="347"/>
        <w:rPr>
          <w:b/>
          <w:sz w:val="20"/>
        </w:rPr>
      </w:pPr>
      <w:r>
        <w:rPr>
          <w:b/>
          <w:sz w:val="20"/>
        </w:rPr>
        <w:t xml:space="preserve">Périodes d'inoccupation : fermer le registre d'air extérieur et ouvrir le registre d'air de retour.]</w:t>
      </w:r>
    </w:p>
    <w:sectPr w:rsidR="00D07766">
      <w:pgSz w:w="12240" w:h="15840"/>
      <w:pgMar w:top="1700" w:right="1720" w:bottom="880" w:left="1340" w:header="545"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D316" w14:textId="77777777" w:rsidR="002F75E5" w:rsidRDefault="002F75E5">
      <w:r>
        <w:separator/>
      </w:r>
    </w:p>
  </w:endnote>
  <w:endnote w:type="continuationSeparator" w:id="0">
    <w:p w14:paraId="21F43436" w14:textId="77777777" w:rsidR="002F75E5" w:rsidRDefault="002F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5CB3" w14:textId="77777777" w:rsidR="00F90CE4" w:rsidRDefault="00F90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3B9E" w14:textId="6EC40EA2" w:rsidR="00D07766" w:rsidRDefault="00F90CE4">
    <w:pPr>
      <w:pStyle w:val="BodyText"/>
      <w:spacing w:line="14" w:lineRule="auto"/>
      <w:ind w:left="0"/>
    </w:pPr>
    <w:r>
      <w:rPr>
        <w:noProof/>
      </w:rPr>
      <mc:AlternateContent>
        <mc:Choice Requires="wps">
          <w:drawing>
            <wp:anchor distT="0" distB="0" distL="114300" distR="114300" simplePos="0" relativeHeight="487549952" behindDoc="1" locked="0" layoutInCell="1" allowOverlap="1" wp14:anchorId="43A3ACA7" wp14:editId="172E857F">
              <wp:simplePos x="0" y="0"/>
              <wp:positionH relativeFrom="page">
                <wp:posOffset>901700</wp:posOffset>
              </wp:positionH>
              <wp:positionV relativeFrom="page">
                <wp:posOffset>9483090</wp:posOffset>
              </wp:positionV>
              <wp:extent cx="1797685" cy="1651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DE36E" w14:textId="77777777" w:rsidR="00D07766" w:rsidRDefault="002F75E5">
                          <w:pPr>
                            <w:spacing w:line="244" w:lineRule="exact"/>
                            <w:ind w:left="20"/>
                            <w:rPr>
                              <w:rFonts w:ascii="Calibri"/>
                            </w:rPr>
                          </w:pPr>
                          <w:r>
                            <w:rPr>
                              <w:rFonts w:ascii="Arial" w:hAnsi="Arial"/>
                            </w:rPr>
                            <w:t xml:space="preserve">MasterFormat</w:t>
                          </w:r>
                          <w:r>
                            <w:rPr>
                              <w:rFonts w:ascii="Arial" w:hAnsi="Arial"/>
                              <w:spacing w:val="-9"/>
                            </w:rPr>
                            <w:t xml:space="preserve"> 2</w:t>
                          </w:r>
                          <w:r>
                            <w:rPr>
                              <w:rFonts w:ascii="Arial" w:hAnsi="Arial"/>
                            </w:rPr>
                            <w:t xml:space="preserve">018 (FÉVRIER</w:t>
                          </w:r>
                          <w:r>
                            <w:rPr>
                              <w:rFonts w:ascii="Arial" w:hAnsi="Arial"/>
                              <w:spacing w:val="-8"/>
                            </w:rPr>
                            <w:t xml:space="preserve"> </w:t>
                          </w:r>
                          <w:r>
                            <w:rPr>
                              <w:rFonts w:ascii="Arial" w:hAnsi="Arial"/>
                              <w:spacing w:val="-2"/>
                            </w:rPr>
                            <w:t xml:space="preserve">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ACA7" id="_x0000_t202" coordsize="21600,21600" o:spt="202" path="m,l,21600r21600,l21600,xe">
              <v:stroke joinstyle="miter"/>
              <v:path gradientshapeok="t" o:connecttype="rect"/>
            </v:shapetype>
            <v:shape id="docshape1" o:spid="_x0000_s1026" type="#_x0000_t202" style="position:absolute;margin-left:71pt;margin-top:746.7pt;width:141.55pt;height:13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" filled="f" stroked="f">
              <v:textbox inset="0,0,0,0">
                <w:txbxContent>
                  <w:p w14:paraId="5E7DE36E" w14:textId="77777777" w:rsidR="00D07766" w:rsidRDefault="002F75E5">
                    <w:pPr>
                      <w:spacing w:line="244" w:lineRule="exact"/>
                      <w:ind w:left="20"/>
                      <w:rPr>
                        <w:rFonts w:ascii="Calibri"/>
                      </w:rPr>
                    </w:pPr>
                    <w:r>
                      <w:rPr>
                        <w:rFonts w:ascii="Arial" w:hAnsi="Arial"/>
                      </w:rPr>
                      <w:t xml:space="preserve">MasterFormat</w:t>
                    </w:r>
                    <w:r>
                      <w:rPr>
                        <w:rFonts w:ascii="Arial" w:hAnsi="Arial"/>
                        <w:spacing w:val="-9"/>
                      </w:rPr>
                      <w:t xml:space="preserve"> 2</w:t>
                    </w:r>
                    <w:r>
                      <w:rPr>
                        <w:rFonts w:ascii="Arial" w:hAnsi="Arial"/>
                      </w:rPr>
                      <w:t xml:space="preserve">018 (FÉVRIER</w:t>
                    </w:r>
                    <w:r>
                      <w:rPr>
                        <w:rFonts w:ascii="Arial" w:hAnsi="Arial"/>
                        <w:spacing w:val="-8"/>
                      </w:rPr>
                      <w:t xml:space="preserve"> </w:t>
                    </w:r>
                    <w:r>
                      <w:rPr>
                        <w:rFonts w:ascii="Arial" w:hAnsi="Arial"/>
                        <w:spacing w:val="-2"/>
                      </w:rPr>
                      <w:t xml:space="preserve">2018)</w:t>
                    </w:r>
                  </w:p>
                </w:txbxContent>
              </v:textbox>
              <w10:wrap anchorx="page" anchory="page"/>
            </v:shape>
          </w:pict>
        </mc:Fallback>
      </mc:AlternateContent>
    </w:r>
    <w:r>
      <w:rPr>
        <w:noProof/>
      </w:rPr>
      <mc:AlternateContent>
        <mc:Choice Requires="wps">
          <w:drawing>
            <wp:anchor distT="0" distB="0" distL="114300" distR="114300" simplePos="0" relativeHeight="487550464" behindDoc="1" locked="0" layoutInCell="1" allowOverlap="1" wp14:anchorId="792368F1" wp14:editId="76249E7C">
              <wp:simplePos x="0" y="0"/>
              <wp:positionH relativeFrom="page">
                <wp:posOffset>6076315</wp:posOffset>
              </wp:positionH>
              <wp:positionV relativeFrom="page">
                <wp:posOffset>9483090</wp:posOffset>
              </wp:positionV>
              <wp:extent cx="794385" cy="1651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9BCC" w14:textId="77777777" w:rsidR="00D07766" w:rsidRDefault="002F75E5">
                          <w:pPr>
                            <w:spacing w:line="244" w:lineRule="exact"/>
                            <w:ind w:left="20"/>
                            <w:rPr>
                              <w:rFonts w:ascii="Calibri"/>
                            </w:rPr>
                          </w:pPr>
                          <w:r>
                            <w:rPr>
                              <w:rFonts w:ascii="Arial" w:hAnsi="Arial"/>
                            </w:rPr>
                            <w:t xml:space="preserve">Page</w:t>
                          </w:r>
                          <w:r>
                            <w:rPr>
                              <w:rFonts w:ascii="Arial" w:hAnsi="Arial"/>
                              <w:spacing w:val="-4"/>
                            </w:rPr>
                            <w:t xml:space="preserve"> </w:t>
                          </w:r>
                          <w:r>
                            <w:rPr>
                              <w:rFonts w:ascii="Arial" w:hAnsi="Arial"/>
                            </w:rPr>
                            <w:rPr>
                              <w:rFonts w:ascii="Arial" w:hAnsi="Arial"/>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Arial" w:hAnsi="Arial"/>
                              <w:spacing w:val="-3"/>
                            </w:rPr>
                            <w:t xml:space="preserve"> de</w:t>
                          </w:r>
                          <w:r>
                            <w:rPr>
                              <w:rFonts w:ascii="Arial" w:hAnsi="Arial"/>
                              <w:spacing w:val="-4"/>
                            </w:rPr>
                            <w:t xml:space="preserve"> </w:t>
                          </w:r>
                          <w:r>
                            <w:rPr>
                              <w:rFonts w:ascii="Arial" w:hAnsi="Arial"/>
                              <w:spacing w:val="-5"/>
                            </w:rPr>
                            <w:t xml:space="preserve">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68F1" id="docshape2" o:spid="_x0000_s1027" type="#_x0000_t202" style="position:absolute;margin-left:478.45pt;margin-top:746.7pt;width:62.55pt;height:13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" filled="f" stroked="f">
              <v:textbox inset="0,0,0,0">
                <w:txbxContent>
                  <w:p w14:paraId="4EC59BCC" w14:textId="77777777" w:rsidR="00D07766" w:rsidRDefault="002F75E5">
                    <w:pPr>
                      <w:spacing w:line="244" w:lineRule="exact"/>
                      <w:ind w:left="20"/>
                      <w:rPr>
                        <w:rFonts w:ascii="Calibri"/>
                      </w:rPr>
                    </w:pPr>
                    <w:r>
                      <w:rPr>
                        <w:rFonts w:ascii="Arial" w:hAnsi="Arial"/>
                      </w:rPr>
                      <w:t xml:space="preserve">Page</w:t>
                    </w:r>
                    <w:r>
                      <w:rPr>
                        <w:rFonts w:ascii="Arial" w:hAnsi="Arial"/>
                        <w:spacing w:val="-4"/>
                      </w:rPr>
                      <w:t xml:space="preserve"> </w:t>
                    </w:r>
                    <w:r>
                      <w:rPr>
                        <w:rFonts w:ascii="Arial" w:hAnsi="Arial"/>
                      </w:rPr>
                      <w:rPr>
                        <w:rFonts w:ascii="Arial" w:hAnsi="Arial"/>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Arial" w:hAnsi="Arial"/>
                        <w:spacing w:val="-3"/>
                      </w:rPr>
                      <w:t xml:space="preserve"> de</w:t>
                    </w:r>
                    <w:r>
                      <w:rPr>
                        <w:rFonts w:ascii="Arial" w:hAnsi="Arial"/>
                        <w:spacing w:val="-4"/>
                      </w:rPr>
                      <w:t xml:space="preserve"> </w:t>
                    </w:r>
                    <w:r>
                      <w:rPr>
                        <w:rFonts w:ascii="Arial" w:hAnsi="Arial"/>
                        <w:spacing w:val="-5"/>
                      </w:rPr>
                      <w:t xml:space="preserve">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BB6" w14:textId="77777777" w:rsidR="00F90CE4" w:rsidRDefault="00F9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007D" w14:textId="77777777" w:rsidR="002F75E5" w:rsidRDefault="002F75E5">
      <w:r>
        <w:separator/>
      </w:r>
    </w:p>
  </w:footnote>
  <w:footnote w:type="continuationSeparator" w:id="0">
    <w:p w14:paraId="2F2A931F" w14:textId="77777777" w:rsidR="002F75E5" w:rsidRDefault="002F7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4725" w14:textId="77777777" w:rsidR="00F90CE4" w:rsidRDefault="00F90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A316" w14:textId="77777777" w:rsidR="00D07766" w:rsidRDefault="002F75E5">
    <w:pPr>
      <w:pStyle w:val="BodyText"/>
      <w:spacing w:line="14" w:lineRule="auto"/>
      <w:ind w:left="0"/>
    </w:pPr>
    <w:r>
      <w:rPr>
        <w:noProof/>
      </w:rPr>
      <w:drawing>
        <wp:anchor distT="0" distB="0" distL="0" distR="0" simplePos="0" relativeHeight="487549440" behindDoc="1" locked="0" layoutInCell="1" allowOverlap="1" wp14:anchorId="583BDA50" wp14:editId="0B3321C8">
          <wp:simplePos x="0" y="0"/>
          <wp:positionH relativeFrom="page">
            <wp:posOffset>5538215</wp:posOffset>
          </wp:positionH>
          <wp:positionV relativeFrom="page">
            <wp:posOffset>345947</wp:posOffset>
          </wp:positionV>
          <wp:extent cx="1365503" cy="5501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65503" cy="55016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14BB" w14:textId="77777777" w:rsidR="00F90CE4" w:rsidRDefault="00F9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05"/>
    <w:multiLevelType w:val="hybridMultilevel"/>
    <w:tmpl w:val="D914650A"/>
    <w:lvl w:ilvl="0" w:tplc="C8A4B578">
      <w:start w:val="4"/>
      <w:numFmt w:val="upperLetter"/>
      <w:lvlText w:val="%1."/>
      <w:lvlJc w:val="left"/>
      <w:pPr>
        <w:ind w:left="1180" w:hanging="361"/>
        <w:jc w:val="left"/>
      </w:pPr>
      <w:rPr>
        <w:rFonts w:ascii="Arial" w:eastAsia="Arial" w:hAnsi="Arial" w:cs="Arial" w:hint="default"/>
        <w:b w:val="0"/>
        <w:bCs w:val="0"/>
        <w:i w:val="0"/>
        <w:iCs w:val="0"/>
        <w:w w:val="100"/>
        <w:sz w:val="20"/>
        <w:szCs w:val="20"/>
        <w:lang w:val="en-US" w:eastAsia="en-US" w:bidi="ar-SA"/>
      </w:rPr>
    </w:lvl>
    <w:lvl w:ilvl="1" w:tplc="5F3610CE">
      <w:start w:val="11"/>
      <w:numFmt w:val="decimal"/>
      <w:lvlText w:val="%2."/>
      <w:lvlJc w:val="left"/>
      <w:pPr>
        <w:ind w:left="1450" w:hanging="361"/>
        <w:jc w:val="left"/>
      </w:pPr>
      <w:rPr>
        <w:rFonts w:ascii="Arial" w:eastAsia="Arial" w:hAnsi="Arial" w:cs="Arial" w:hint="default"/>
        <w:b w:val="0"/>
        <w:bCs w:val="0"/>
        <w:i w:val="0"/>
        <w:iCs w:val="0"/>
        <w:w w:val="100"/>
        <w:sz w:val="20"/>
        <w:szCs w:val="20"/>
        <w:lang w:val="en-US" w:eastAsia="en-US" w:bidi="ar-SA"/>
      </w:rPr>
    </w:lvl>
    <w:lvl w:ilvl="2" w:tplc="FF7E31DA">
      <w:start w:val="1"/>
      <w:numFmt w:val="lowerLetter"/>
      <w:lvlText w:val="%3."/>
      <w:lvlJc w:val="left"/>
      <w:pPr>
        <w:ind w:left="1899" w:hanging="360"/>
        <w:jc w:val="right"/>
      </w:pPr>
      <w:rPr>
        <w:rFonts w:hint="default"/>
        <w:spacing w:val="-1"/>
        <w:w w:val="100"/>
        <w:lang w:val="en-US" w:eastAsia="en-US" w:bidi="ar-SA"/>
      </w:rPr>
    </w:lvl>
    <w:lvl w:ilvl="3" w:tplc="C3A4198C">
      <w:start w:val="1"/>
      <w:numFmt w:val="lowerRoman"/>
      <w:lvlText w:val="%4."/>
      <w:lvlJc w:val="left"/>
      <w:pPr>
        <w:ind w:left="2619" w:hanging="292"/>
        <w:jc w:val="left"/>
      </w:pPr>
      <w:rPr>
        <w:rFonts w:ascii="Arial" w:eastAsia="Arial" w:hAnsi="Arial" w:cs="Arial" w:hint="default"/>
        <w:b/>
        <w:bCs/>
        <w:i w:val="0"/>
        <w:iCs w:val="0"/>
        <w:spacing w:val="-1"/>
        <w:w w:val="100"/>
        <w:sz w:val="20"/>
        <w:szCs w:val="20"/>
        <w:lang w:val="en-US" w:eastAsia="en-US" w:bidi="ar-SA"/>
      </w:rPr>
    </w:lvl>
    <w:lvl w:ilvl="4" w:tplc="90BAC060">
      <w:numFmt w:val="bullet"/>
      <w:lvlText w:val="•"/>
      <w:lvlJc w:val="left"/>
      <w:pPr>
        <w:ind w:left="3557" w:hanging="292"/>
      </w:pPr>
      <w:rPr>
        <w:rFonts w:hint="default"/>
        <w:lang w:val="en-US" w:eastAsia="en-US" w:bidi="ar-SA"/>
      </w:rPr>
    </w:lvl>
    <w:lvl w:ilvl="5" w:tplc="A950DB48">
      <w:numFmt w:val="bullet"/>
      <w:lvlText w:val="•"/>
      <w:lvlJc w:val="left"/>
      <w:pPr>
        <w:ind w:left="4494" w:hanging="292"/>
      </w:pPr>
      <w:rPr>
        <w:rFonts w:hint="default"/>
        <w:lang w:val="en-US" w:eastAsia="en-US" w:bidi="ar-SA"/>
      </w:rPr>
    </w:lvl>
    <w:lvl w:ilvl="6" w:tplc="11262B2A">
      <w:numFmt w:val="bullet"/>
      <w:lvlText w:val="•"/>
      <w:lvlJc w:val="left"/>
      <w:pPr>
        <w:ind w:left="5431" w:hanging="292"/>
      </w:pPr>
      <w:rPr>
        <w:rFonts w:hint="default"/>
        <w:lang w:val="en-US" w:eastAsia="en-US" w:bidi="ar-SA"/>
      </w:rPr>
    </w:lvl>
    <w:lvl w:ilvl="7" w:tplc="43FA39B2">
      <w:numFmt w:val="bullet"/>
      <w:lvlText w:val="•"/>
      <w:lvlJc w:val="left"/>
      <w:pPr>
        <w:ind w:left="6368" w:hanging="292"/>
      </w:pPr>
      <w:rPr>
        <w:rFonts w:hint="default"/>
        <w:lang w:val="en-US" w:eastAsia="en-US" w:bidi="ar-SA"/>
      </w:rPr>
    </w:lvl>
    <w:lvl w:ilvl="8" w:tplc="BB7AA98A">
      <w:numFmt w:val="bullet"/>
      <w:lvlText w:val="•"/>
      <w:lvlJc w:val="left"/>
      <w:pPr>
        <w:ind w:left="7305" w:hanging="292"/>
      </w:pPr>
      <w:rPr>
        <w:rFonts w:hint="default"/>
        <w:lang w:val="en-US" w:eastAsia="en-US" w:bidi="ar-SA"/>
      </w:rPr>
    </w:lvl>
  </w:abstractNum>
  <w:abstractNum w:abstractNumId="1" w15:restartNumberingAfterBreak="0">
    <w:nsid w:val="16416CD0"/>
    <w:multiLevelType w:val="hybridMultilevel"/>
    <w:tmpl w:val="70389BF4"/>
    <w:lvl w:ilvl="0" w:tplc="6DD64642">
      <w:start w:val="1"/>
      <w:numFmt w:val="lowerRoman"/>
      <w:lvlText w:val="%1."/>
      <w:lvlJc w:val="left"/>
      <w:pPr>
        <w:ind w:left="1900" w:hanging="361"/>
        <w:jc w:val="left"/>
      </w:pPr>
      <w:rPr>
        <w:rFonts w:ascii="Arial" w:eastAsia="Arial" w:hAnsi="Arial" w:cs="Arial" w:hint="default"/>
        <w:b w:val="0"/>
        <w:bCs w:val="0"/>
        <w:i w:val="0"/>
        <w:iCs w:val="0"/>
        <w:w w:val="100"/>
        <w:sz w:val="20"/>
        <w:szCs w:val="20"/>
        <w:lang w:val="en-US" w:eastAsia="en-US" w:bidi="ar-SA"/>
      </w:rPr>
    </w:lvl>
    <w:lvl w:ilvl="1" w:tplc="B8A8916C">
      <w:start w:val="1"/>
      <w:numFmt w:val="lowerRoman"/>
      <w:lvlText w:val="%2."/>
      <w:lvlJc w:val="left"/>
      <w:pPr>
        <w:ind w:left="2620" w:hanging="281"/>
        <w:jc w:val="left"/>
      </w:pPr>
      <w:rPr>
        <w:rFonts w:ascii="Arial" w:eastAsia="Arial" w:hAnsi="Arial" w:cs="Arial" w:hint="default"/>
        <w:b w:val="0"/>
        <w:bCs w:val="0"/>
        <w:i w:val="0"/>
        <w:iCs w:val="0"/>
        <w:spacing w:val="-1"/>
        <w:w w:val="100"/>
        <w:sz w:val="20"/>
        <w:szCs w:val="20"/>
        <w:lang w:val="en-US" w:eastAsia="en-US" w:bidi="ar-SA"/>
      </w:rPr>
    </w:lvl>
    <w:lvl w:ilvl="2" w:tplc="504E4ADC">
      <w:numFmt w:val="bullet"/>
      <w:lvlText w:val="•"/>
      <w:lvlJc w:val="left"/>
      <w:pPr>
        <w:ind w:left="3348" w:hanging="281"/>
      </w:pPr>
      <w:rPr>
        <w:rFonts w:hint="default"/>
        <w:lang w:val="en-US" w:eastAsia="en-US" w:bidi="ar-SA"/>
      </w:rPr>
    </w:lvl>
    <w:lvl w:ilvl="3" w:tplc="6F72CD60">
      <w:numFmt w:val="bullet"/>
      <w:lvlText w:val="•"/>
      <w:lvlJc w:val="left"/>
      <w:pPr>
        <w:ind w:left="4077" w:hanging="281"/>
      </w:pPr>
      <w:rPr>
        <w:rFonts w:hint="default"/>
        <w:lang w:val="en-US" w:eastAsia="en-US" w:bidi="ar-SA"/>
      </w:rPr>
    </w:lvl>
    <w:lvl w:ilvl="4" w:tplc="686C856C">
      <w:numFmt w:val="bullet"/>
      <w:lvlText w:val="•"/>
      <w:lvlJc w:val="left"/>
      <w:pPr>
        <w:ind w:left="4806" w:hanging="281"/>
      </w:pPr>
      <w:rPr>
        <w:rFonts w:hint="default"/>
        <w:lang w:val="en-US" w:eastAsia="en-US" w:bidi="ar-SA"/>
      </w:rPr>
    </w:lvl>
    <w:lvl w:ilvl="5" w:tplc="0C1C046A">
      <w:numFmt w:val="bullet"/>
      <w:lvlText w:val="•"/>
      <w:lvlJc w:val="left"/>
      <w:pPr>
        <w:ind w:left="5535" w:hanging="281"/>
      </w:pPr>
      <w:rPr>
        <w:rFonts w:hint="default"/>
        <w:lang w:val="en-US" w:eastAsia="en-US" w:bidi="ar-SA"/>
      </w:rPr>
    </w:lvl>
    <w:lvl w:ilvl="6" w:tplc="CD3ABF1E">
      <w:numFmt w:val="bullet"/>
      <w:lvlText w:val="•"/>
      <w:lvlJc w:val="left"/>
      <w:pPr>
        <w:ind w:left="6264" w:hanging="281"/>
      </w:pPr>
      <w:rPr>
        <w:rFonts w:hint="default"/>
        <w:lang w:val="en-US" w:eastAsia="en-US" w:bidi="ar-SA"/>
      </w:rPr>
    </w:lvl>
    <w:lvl w:ilvl="7" w:tplc="5CA45368">
      <w:numFmt w:val="bullet"/>
      <w:lvlText w:val="•"/>
      <w:lvlJc w:val="left"/>
      <w:pPr>
        <w:ind w:left="6993" w:hanging="281"/>
      </w:pPr>
      <w:rPr>
        <w:rFonts w:hint="default"/>
        <w:lang w:val="en-US" w:eastAsia="en-US" w:bidi="ar-SA"/>
      </w:rPr>
    </w:lvl>
    <w:lvl w:ilvl="8" w:tplc="34088EFC">
      <w:numFmt w:val="bullet"/>
      <w:lvlText w:val="•"/>
      <w:lvlJc w:val="left"/>
      <w:pPr>
        <w:ind w:left="7722" w:hanging="281"/>
      </w:pPr>
      <w:rPr>
        <w:rFonts w:hint="default"/>
        <w:lang w:val="en-US" w:eastAsia="en-US" w:bidi="ar-SA"/>
      </w:rPr>
    </w:lvl>
  </w:abstractNum>
  <w:abstractNum w:abstractNumId="2" w15:restartNumberingAfterBreak="0">
    <w:nsid w:val="79D40364"/>
    <w:multiLevelType w:val="hybridMultilevel"/>
    <w:tmpl w:val="619031C0"/>
    <w:lvl w:ilvl="0" w:tplc="FC805C90">
      <w:start w:val="2"/>
      <w:numFmt w:val="lowerRoman"/>
      <w:lvlText w:val="%1."/>
      <w:lvlJc w:val="left"/>
      <w:pPr>
        <w:ind w:left="2619" w:hanging="325"/>
        <w:jc w:val="left"/>
      </w:pPr>
      <w:rPr>
        <w:rFonts w:ascii="Arial" w:eastAsia="Arial" w:hAnsi="Arial" w:cs="Arial" w:hint="default"/>
        <w:b w:val="0"/>
        <w:bCs w:val="0"/>
        <w:i w:val="0"/>
        <w:iCs w:val="0"/>
        <w:w w:val="100"/>
        <w:sz w:val="20"/>
        <w:szCs w:val="20"/>
        <w:lang w:val="en-US" w:eastAsia="en-US" w:bidi="ar-SA"/>
      </w:rPr>
    </w:lvl>
    <w:lvl w:ilvl="1" w:tplc="79DA44E2">
      <w:numFmt w:val="bullet"/>
      <w:lvlText w:val="•"/>
      <w:lvlJc w:val="left"/>
      <w:pPr>
        <w:ind w:left="3276" w:hanging="325"/>
      </w:pPr>
      <w:rPr>
        <w:rFonts w:hint="default"/>
        <w:lang w:val="en-US" w:eastAsia="en-US" w:bidi="ar-SA"/>
      </w:rPr>
    </w:lvl>
    <w:lvl w:ilvl="2" w:tplc="E1CA946E">
      <w:numFmt w:val="bullet"/>
      <w:lvlText w:val="•"/>
      <w:lvlJc w:val="left"/>
      <w:pPr>
        <w:ind w:left="3932" w:hanging="325"/>
      </w:pPr>
      <w:rPr>
        <w:rFonts w:hint="default"/>
        <w:lang w:val="en-US" w:eastAsia="en-US" w:bidi="ar-SA"/>
      </w:rPr>
    </w:lvl>
    <w:lvl w:ilvl="3" w:tplc="A8AC8020">
      <w:numFmt w:val="bullet"/>
      <w:lvlText w:val="•"/>
      <w:lvlJc w:val="left"/>
      <w:pPr>
        <w:ind w:left="4588" w:hanging="325"/>
      </w:pPr>
      <w:rPr>
        <w:rFonts w:hint="default"/>
        <w:lang w:val="en-US" w:eastAsia="en-US" w:bidi="ar-SA"/>
      </w:rPr>
    </w:lvl>
    <w:lvl w:ilvl="4" w:tplc="E83843BE">
      <w:numFmt w:val="bullet"/>
      <w:lvlText w:val="•"/>
      <w:lvlJc w:val="left"/>
      <w:pPr>
        <w:ind w:left="5244" w:hanging="325"/>
      </w:pPr>
      <w:rPr>
        <w:rFonts w:hint="default"/>
        <w:lang w:val="en-US" w:eastAsia="en-US" w:bidi="ar-SA"/>
      </w:rPr>
    </w:lvl>
    <w:lvl w:ilvl="5" w:tplc="205487AC">
      <w:numFmt w:val="bullet"/>
      <w:lvlText w:val="•"/>
      <w:lvlJc w:val="left"/>
      <w:pPr>
        <w:ind w:left="5900" w:hanging="325"/>
      </w:pPr>
      <w:rPr>
        <w:rFonts w:hint="default"/>
        <w:lang w:val="en-US" w:eastAsia="en-US" w:bidi="ar-SA"/>
      </w:rPr>
    </w:lvl>
    <w:lvl w:ilvl="6" w:tplc="5586479C">
      <w:numFmt w:val="bullet"/>
      <w:lvlText w:val="•"/>
      <w:lvlJc w:val="left"/>
      <w:pPr>
        <w:ind w:left="6556" w:hanging="325"/>
      </w:pPr>
      <w:rPr>
        <w:rFonts w:hint="default"/>
        <w:lang w:val="en-US" w:eastAsia="en-US" w:bidi="ar-SA"/>
      </w:rPr>
    </w:lvl>
    <w:lvl w:ilvl="7" w:tplc="BE681798">
      <w:numFmt w:val="bullet"/>
      <w:lvlText w:val="•"/>
      <w:lvlJc w:val="left"/>
      <w:pPr>
        <w:ind w:left="7212" w:hanging="325"/>
      </w:pPr>
      <w:rPr>
        <w:rFonts w:hint="default"/>
        <w:lang w:val="en-US" w:eastAsia="en-US" w:bidi="ar-SA"/>
      </w:rPr>
    </w:lvl>
    <w:lvl w:ilvl="8" w:tplc="786660CC">
      <w:numFmt w:val="bullet"/>
      <w:lvlText w:val="•"/>
      <w:lvlJc w:val="left"/>
      <w:pPr>
        <w:ind w:left="7868" w:hanging="325"/>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DW0MDAxNbU0MjVQ0lEKTi0uzszPAykwrAUAvC7Y7CwAAAA="/>
  </w:docVars>
  <w:rsids>
    <w:rsidRoot w:val="00D07766"/>
    <w:rsid w:val="002F75E5"/>
    <w:rsid w:val="00D07766"/>
    <w:rsid w:val="00F9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D034D"/>
  <w15:docId w15:val="{75E41F72-7E7F-462D-B2B5-BB3BCC55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asciiTheme="minorHAnsi" w:eastAsiaTheme="minorHAnsi" w:hAnsi="Calibri" w:hAnsiTheme="minorHAnsi" w:cstheme="minorBidi"/>
        <w:sz w:val="22"/>
        <w:szCs w:val="22"/>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rPr>
      <w:rFonts w:ascii="Calibri" w:hAnsi="Calibri"/>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99"/>
    </w:pPr>
    <w:rPr>
      <w:sz w:val="20"/>
      <w:szCs w:val="20"/>
    </w:rPr>
  </w:style>
  <w:style w:type="paragraph" w:styleId="Title">
    <w:name w:val="Title"/>
    <w:basedOn w:val="Normal"/>
    <w:uiPriority w:val="10"/>
    <w:qFormat/>
    <w:pPr>
      <w:spacing w:before="83"/>
      <w:ind w:left="100" w:right="170"/>
    </w:pPr>
    <w:rPr>
      <w:b/>
      <w:bCs/>
      <w:sz w:val="24"/>
      <w:szCs w:val="24"/>
    </w:rPr>
  </w:style>
  <w:style w:type="paragraph" w:styleId="ListParagraph">
    <w:name w:val="List Paragraph"/>
    <w:basedOn w:val="Normal"/>
    <w:uiPriority w:val="1"/>
    <w:qFormat/>
    <w:pPr>
      <w:ind w:left="1899" w:hanging="360"/>
    </w:pPr>
    <w:rPr>
      <w:rFonts w:ascii="Arial" w:hAnsi="Arial"/>
    </w:rPr>
  </w:style>
  <w:style w:type="paragraph" w:customStyle="1" w:styleId="TableParagraph">
    <w:name w:val="Table Paragraph"/>
    <w:basedOn w:val="Normal"/>
    <w:uiPriority w:val="1"/>
    <w:qFormat/>
    <w:rPr>
      <w:rFonts w:ascii="Arial" w:hAnsi="Arial"/>
    </w:rPr>
  </w:style>
  <w:style w:type="paragraph" w:styleId="Header">
    <w:name w:val="header"/>
    <w:basedOn w:val="Normal"/>
    <w:link w:val="HeaderChar"/>
    <w:uiPriority w:val="99"/>
    <w:unhideWhenUsed/>
    <w:rsid w:val="00F90CE4"/>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F90CE4"/>
    <w:rPr>
      <w:rFonts w:ascii="Arial" w:eastAsia="Arial" w:hAnsi="Arial" w:cs="Arial"/>
    </w:rPr>
  </w:style>
  <w:style w:type="paragraph" w:styleId="Footer">
    <w:name w:val="footer"/>
    <w:basedOn w:val="Normal"/>
    <w:link w:val="FooterChar"/>
    <w:uiPriority w:val="99"/>
    <w:unhideWhenUsed/>
    <w:rsid w:val="00F90CE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F90CE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BelimoMasterFormat 061515</dc:title>
  <dc:creator>riffleda</dc:creator>
  <cp:lastModifiedBy>Hickey, Lisa</cp:lastModifiedBy>
  <cp:revision>2</cp:revision>
  <dcterms:created xsi:type="dcterms:W3CDTF">2022-09-01T14:14:00Z</dcterms:created>
  <dcterms:modified xsi:type="dcterms:W3CDTF">2022-09-01T14:14:00Z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PScript5.dll Version 5.2.2</vt:lpwstr>
  </property>
  <property fmtid="{D5CDD505-2E9C-101B-9397-08002B2CF9AE}" pid="4" name="LastSaved">
    <vt:filetime>2022-09-01T00:00:00Z</vt:filetime>
  </property>
  <property fmtid="{D5CDD505-2E9C-101B-9397-08002B2CF9AE}" pid="5" name="Producer">
    <vt:lpwstr>Acrobat Distiller 11.0 (Windows)</vt:lpwstr>
  </property>
</Properties>
</file>