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91D3" w14:textId="28A731EE" w:rsidR="00D56AAC" w:rsidRDefault="00D56AAC" w:rsidP="00D56AAC">
      <w:pPr>
        <w:pStyle w:val="PR2"/>
        <w:numPr>
          <w:ilvl w:val="0"/>
          <w:numId w:val="0"/>
        </w:numPr>
      </w:pPr>
    </w:p>
    <w:p w14:paraId="525BF33A" w14:textId="69F783B9" w:rsidR="00D56AAC" w:rsidRDefault="00D56AAC" w:rsidP="00D56AAC">
      <w:pPr>
        <w:pStyle w:val="PR2"/>
        <w:numPr>
          <w:ilvl w:val="0"/>
          <w:numId w:val="0"/>
        </w:numPr>
      </w:pPr>
    </w:p>
    <w:p w14:paraId="578533DC" w14:textId="77777777" w:rsidR="00DE4B55" w:rsidRDefault="00DE4B55" w:rsidP="00D56AAC">
      <w:pPr>
        <w:pStyle w:val="PR2"/>
        <w:numPr>
          <w:ilvl w:val="0"/>
          <w:numId w:val="0"/>
        </w:numPr>
      </w:pPr>
    </w:p>
    <w:p w14:paraId="5C170AB3" w14:textId="20D3E3C0" w:rsidR="00BB6DFA" w:rsidRPr="00BB6DFA" w:rsidRDefault="00BB6DFA" w:rsidP="00BB6DFA">
      <w:pPr>
        <w:pStyle w:val="SCT"/>
        <w:spacing w:before="480"/>
      </w:pPr>
      <w:r>
        <w:t xml:space="preserve">SECTION </w:t>
      </w:r>
      <w:r>
        <w:rPr>
          <w:rStyle w:val="NUM"/>
        </w:rPr>
        <w:t xml:space="preserve">230923</w:t>
      </w:r>
      <w:r>
        <w:t xml:space="preserve"> – </w:t>
      </w:r>
      <w:r>
        <w:rPr>
          <w:rStyle w:val="NAM"/>
        </w:rPr>
        <w:t xml:space="preserve">SYSTÈME </w:t>
      </w:r>
      <w:r>
        <w:t xml:space="preserve">DE SURVEILLANCE DES GAZ</w:t>
      </w:r>
      <w:r>
        <w:rPr>
          <w:rStyle w:val="NAM"/>
        </w:rPr>
        <w:t xml:space="preserve"> </w:t>
      </w:r>
    </w:p>
    <w:p w14:paraId="69835F16" w14:textId="6E8A35AB" w:rsidR="00276225" w:rsidRDefault="00276225" w:rsidP="005D7368">
      <w:pPr>
        <w:pStyle w:val="PR3"/>
        <w:numPr>
          <w:ilvl w:val="0"/>
          <w:numId w:val="0"/>
        </w:numPr>
        <w:ind w:left="2016" w:hanging="576"/>
        <w:rPr>
          <w:strike/>
        </w:rPr>
      </w:pPr>
    </w:p>
    <w:p w14:paraId="53853139" w14:textId="0A12B207" w:rsidR="00466FE1" w:rsidRPr="00402B10" w:rsidRDefault="00402B10" w:rsidP="00241BA9">
      <w:pPr>
        <w:pStyle w:val="PR3"/>
        <w:numPr>
          <w:ilvl w:val="0"/>
          <w:numId w:val="0"/>
        </w:numPr>
        <w:ind w:left="720"/>
        <w:rPr>
          <w:strike/>
        </w:rPr>
      </w:pPr>
      <w:r>
        <w:t xml:space="preserve">Le fabricant s’engage à garantir tous les composants pour une période de cinq (5) ans à partir de la date de production et doit fournir une garantie d'un (1) an sur l'étalonnage.  </w:t>
      </w:r>
    </w:p>
    <w:p w14:paraId="24D5B138" w14:textId="486AE73C" w:rsidR="00402B10" w:rsidRPr="00923EEF" w:rsidRDefault="00402B10">
      <w:pPr>
        <w:pStyle w:val="PR3"/>
        <w:numPr>
          <w:ilvl w:val="0"/>
          <w:numId w:val="0"/>
        </w:numPr>
        <w:ind w:left="720"/>
        <w:rPr>
          <w:strike/>
        </w:rPr>
      </w:pPr>
    </w:p>
    <w:p w14:paraId="45A09C56" w14:textId="77777777" w:rsidR="0028520D" w:rsidRDefault="0028520D" w:rsidP="005E0410">
      <w:pPr>
        <w:pStyle w:val="PR2"/>
        <w:numPr>
          <w:ilvl w:val="1"/>
          <w:numId w:val="19"/>
        </w:numPr>
      </w:pPr>
      <w:r>
        <w:t xml:space="preserve">Fabrication, étiquetage ou distribution effectués par Belimo.</w:t>
      </w:r>
    </w:p>
    <w:p w14:paraId="053546BD" w14:textId="77777777" w:rsidR="0028520D" w:rsidRDefault="0028520D" w:rsidP="005E0410">
      <w:pPr>
        <w:pStyle w:val="PR3"/>
        <w:numPr>
          <w:ilvl w:val="0"/>
          <w:numId w:val="0"/>
        </w:numPr>
        <w:ind w:left="720"/>
      </w:pPr>
    </w:p>
    <w:p w14:paraId="0140B748" w14:textId="36E1D392" w:rsidR="00402B10" w:rsidRDefault="00402B10" w:rsidP="000E02D6">
      <w:pPr>
        <w:pStyle w:val="PR3"/>
        <w:numPr>
          <w:ilvl w:val="1"/>
          <w:numId w:val="19"/>
        </w:numPr>
      </w:pPr>
      <w:r>
        <w:t xml:space="preserve">Tous les éléments de détection doivent pouvoir être étalonnés sur place ou remplacés par un élément de détection étalonné en usine.</w:t>
      </w:r>
    </w:p>
    <w:p w14:paraId="017D597F" w14:textId="77777777" w:rsidR="005E0410" w:rsidRDefault="005E0410" w:rsidP="005E0410">
      <w:pPr>
        <w:pStyle w:val="PR3"/>
        <w:numPr>
          <w:ilvl w:val="0"/>
          <w:numId w:val="0"/>
        </w:numPr>
        <w:ind w:left="720"/>
      </w:pPr>
    </w:p>
    <w:p w14:paraId="588F24D6" w14:textId="07879810" w:rsidR="00333B74" w:rsidRDefault="00333B74" w:rsidP="000E02D6">
      <w:pPr>
        <w:pStyle w:val="PR3"/>
        <w:numPr>
          <w:ilvl w:val="1"/>
          <w:numId w:val="19"/>
        </w:numPr>
      </w:pPr>
      <w:r>
        <w:t xml:space="preserve">Les éléments de détection doivent être fixés à la hauteur recommandée par le fabricant.</w:t>
      </w:r>
    </w:p>
    <w:p w14:paraId="115B0C5A" w14:textId="77777777" w:rsidR="005D7368" w:rsidRDefault="005D7368" w:rsidP="005D7368">
      <w:pPr>
        <w:pStyle w:val="PR3"/>
        <w:numPr>
          <w:ilvl w:val="0"/>
          <w:numId w:val="0"/>
        </w:numPr>
      </w:pPr>
    </w:p>
    <w:p w14:paraId="61B1DCB7" w14:textId="299F3CAD" w:rsidR="000E02D6" w:rsidRDefault="00402B10" w:rsidP="000E02D6">
      <w:pPr>
        <w:pStyle w:val="PR3"/>
        <w:numPr>
          <w:ilvl w:val="1"/>
          <w:numId w:val="19"/>
        </w:numPr>
      </w:pPr>
      <w:r>
        <w:t xml:space="preserve"> Monoxyde de carbone</w:t>
      </w:r>
    </w:p>
    <w:p w14:paraId="5CE79409" w14:textId="77777777" w:rsidR="0028520D" w:rsidRDefault="0028520D" w:rsidP="005E0410">
      <w:pPr>
        <w:pStyle w:val="PR3"/>
        <w:numPr>
          <w:ilvl w:val="0"/>
          <w:numId w:val="0"/>
        </w:numPr>
        <w:ind w:left="1440"/>
      </w:pPr>
    </w:p>
    <w:p w14:paraId="19C0D7A0" w14:textId="72E9EEF5" w:rsidR="000E02D6" w:rsidRDefault="00276225" w:rsidP="00276225">
      <w:pPr>
        <w:pStyle w:val="PR5"/>
        <w:numPr>
          <w:ilvl w:val="2"/>
          <w:numId w:val="19"/>
        </w:numPr>
      </w:pPr>
      <w:r>
        <w:t xml:space="preserve">Type d'élément : électrochimique</w:t>
      </w:r>
    </w:p>
    <w:p w14:paraId="6017DC78" w14:textId="4062E6B3" w:rsidR="00C416C3" w:rsidRDefault="00C416C3" w:rsidP="00F35F35">
      <w:pPr>
        <w:pStyle w:val="PR5"/>
        <w:numPr>
          <w:ilvl w:val="2"/>
          <w:numId w:val="19"/>
        </w:numPr>
      </w:pPr>
      <w:r>
        <w:t xml:space="preserve">Plages :</w:t>
      </w:r>
    </w:p>
    <w:p w14:paraId="78D216F1" w14:textId="11C723D7" w:rsidR="00C416C3" w:rsidRDefault="00F35F35" w:rsidP="00C416C3">
      <w:pPr>
        <w:pStyle w:val="PR5"/>
        <w:numPr>
          <w:ilvl w:val="3"/>
          <w:numId w:val="19"/>
        </w:numPr>
      </w:pPr>
      <w:r>
        <w:t xml:space="preserve">Mesure :</w:t>
        <w:tab/>
        <w:t xml:space="preserve">0 à 250 ppm, plein échelle</w:t>
      </w:r>
    </w:p>
    <w:p w14:paraId="4D117793" w14:textId="49FA9A80" w:rsidR="00AA66F1" w:rsidRDefault="00AA66F1" w:rsidP="00C416C3">
      <w:pPr>
        <w:pStyle w:val="PR5"/>
        <w:numPr>
          <w:ilvl w:val="3"/>
          <w:numId w:val="19"/>
        </w:numPr>
      </w:pPr>
      <w:r>
        <w:t xml:space="preserve">Portée de détection :  </w:t>
      </w:r>
      <w:r>
        <w:rPr>
          <w:b/>
          <w:bCs/>
          <w:color w:val="FF0000"/>
        </w:rPr>
        <w:t xml:space="preserve">50 </w:t>
      </w:r>
      <w:r>
        <w:rPr>
          <w:color w:val="FF0000"/>
        </w:rPr>
        <w:t xml:space="preserve">pi </w:t>
      </w:r>
      <w:r>
        <w:rPr>
          <w:b/>
          <w:bCs/>
          <w:color w:val="00B0F0"/>
        </w:rPr>
        <w:t xml:space="preserve">(15 m)</w:t>
      </w:r>
    </w:p>
    <w:p w14:paraId="3E075B7A" w14:textId="6619F014" w:rsidR="00F35F35" w:rsidRPr="00C56EF6" w:rsidRDefault="00C56EF6" w:rsidP="00C416C3">
      <w:pPr>
        <w:pStyle w:val="PR5"/>
        <w:numPr>
          <w:ilvl w:val="3"/>
          <w:numId w:val="19"/>
        </w:numPr>
      </w:pPr>
      <w:r>
        <w:t xml:space="preserve">Température de fonctionnement :</w:t>
        <w:tab/>
      </w:r>
      <w:r>
        <w:rPr>
          <w:b/>
          <w:bCs/>
          <w:color w:val="FF0000"/>
        </w:rPr>
        <w:t xml:space="preserve">-4 à 104 ℉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(-20 à 40 ℃)</w:t>
      </w:r>
    </w:p>
    <w:p w14:paraId="5EECFD92" w14:textId="77777777" w:rsidR="00C56EF6" w:rsidRDefault="00C56EF6" w:rsidP="00C416C3">
      <w:pPr>
        <w:pStyle w:val="PR5"/>
        <w:numPr>
          <w:ilvl w:val="3"/>
          <w:numId w:val="19"/>
        </w:numPr>
      </w:pPr>
      <w:r>
        <w:t xml:space="preserve">Humidité :</w:t>
        <w:tab/>
      </w:r>
    </w:p>
    <w:p w14:paraId="56D1AE29" w14:textId="17441E97" w:rsidR="00C56EF6" w:rsidRPr="00C56EF6" w:rsidRDefault="00F92426" w:rsidP="00C56EF6">
      <w:pPr>
        <w:pStyle w:val="PR5"/>
        <w:numPr>
          <w:ilvl w:val="4"/>
          <w:numId w:val="19"/>
        </w:numPr>
      </w:pPr>
      <w:r>
        <w:t xml:space="preserve">15 à 90 % HR continue</w:t>
      </w:r>
    </w:p>
    <w:p w14:paraId="4552B00A" w14:textId="3C451258" w:rsidR="00C56EF6" w:rsidRPr="00C56EF6" w:rsidRDefault="00F92426" w:rsidP="00C56EF6">
      <w:pPr>
        <w:pStyle w:val="PR5"/>
        <w:numPr>
          <w:ilvl w:val="4"/>
          <w:numId w:val="19"/>
        </w:numPr>
      </w:pPr>
      <w:r>
        <w:t xml:space="preserve">0 à 99 % HR/ continue, intermittente, sans condensation</w:t>
      </w:r>
    </w:p>
    <w:p w14:paraId="59F833AA" w14:textId="7F52E87A" w:rsidR="00276225" w:rsidRDefault="00D56AAC" w:rsidP="00D56AAC">
      <w:pPr>
        <w:pStyle w:val="PR5"/>
        <w:numPr>
          <w:ilvl w:val="2"/>
          <w:numId w:val="19"/>
        </w:numPr>
      </w:pPr>
      <w:r>
        <w:t xml:space="preserve">Rendement :</w:t>
      </w:r>
    </w:p>
    <w:p w14:paraId="2AAD84C3" w14:textId="3031273E" w:rsidR="00D56AAC" w:rsidRPr="005E0410" w:rsidRDefault="00DE4B55" w:rsidP="00DE4B55">
      <w:pPr>
        <w:pStyle w:val="PR5"/>
        <w:numPr>
          <w:ilvl w:val="3"/>
          <w:numId w:val="19"/>
        </w:numPr>
      </w:pPr>
      <w:r>
        <w:t xml:space="preserve">Précision : +/- 3 % pleine échelle (0 à 75 ppm)</w:t>
      </w:r>
    </w:p>
    <w:p w14:paraId="3538DEAC" w14:textId="0DB2D8A2" w:rsidR="00DE4B55" w:rsidRDefault="00DE4B55" w:rsidP="00DE4B55">
      <w:pPr>
        <w:pStyle w:val="PR5"/>
        <w:numPr>
          <w:ilvl w:val="3"/>
          <w:numId w:val="19"/>
        </w:numPr>
      </w:pPr>
      <w:r>
        <w:t xml:space="preserve">Dérive :</w:t>
        <w:tab/>
        <w:t xml:space="preserve">5 % (par an)</w:t>
      </w:r>
    </w:p>
    <w:p w14:paraId="7EC6666C" w14:textId="50E507A0" w:rsidR="00A751E6" w:rsidRDefault="00A751E6" w:rsidP="00DE4B55">
      <w:pPr>
        <w:pStyle w:val="PR5"/>
        <w:numPr>
          <w:ilvl w:val="3"/>
          <w:numId w:val="19"/>
        </w:numPr>
      </w:pPr>
      <w:r>
        <w:t xml:space="preserve">Répétabilité :  &lt;+3 % </w:t>
      </w:r>
    </w:p>
    <w:p w14:paraId="34DA11B2" w14:textId="2AF09969" w:rsidR="008B51E6" w:rsidRDefault="00DE4B55" w:rsidP="004C7056">
      <w:pPr>
        <w:pStyle w:val="PR5"/>
        <w:numPr>
          <w:ilvl w:val="3"/>
          <w:numId w:val="19"/>
        </w:numPr>
      </w:pPr>
      <w:r>
        <w:t xml:space="preserve">Temps de réponse : &lt;30 secondes (T90)</w:t>
      </w:r>
    </w:p>
    <w:p w14:paraId="7E127A5C" w14:textId="77777777" w:rsidR="005D7368" w:rsidRDefault="005D7368" w:rsidP="005D7368">
      <w:pPr>
        <w:pStyle w:val="PR5"/>
        <w:numPr>
          <w:ilvl w:val="0"/>
          <w:numId w:val="0"/>
        </w:numPr>
        <w:ind w:left="2160"/>
      </w:pPr>
    </w:p>
    <w:p w14:paraId="479DF53A" w14:textId="576B178B" w:rsidR="00403BCC" w:rsidRDefault="00403BCC" w:rsidP="00403BCC">
      <w:pPr>
        <w:pStyle w:val="PR5"/>
        <w:numPr>
          <w:ilvl w:val="1"/>
          <w:numId w:val="19"/>
        </w:numPr>
      </w:pPr>
      <w:r>
        <w:t xml:space="preserve">Dioxyde d'azote</w:t>
      </w:r>
    </w:p>
    <w:p w14:paraId="427311CD" w14:textId="70F52CDE" w:rsidR="00403BCC" w:rsidRDefault="00403BCC" w:rsidP="00403BCC">
      <w:pPr>
        <w:pStyle w:val="PR5"/>
        <w:numPr>
          <w:ilvl w:val="2"/>
          <w:numId w:val="19"/>
        </w:numPr>
      </w:pPr>
      <w:r>
        <w:t xml:space="preserve">Type d'élément :  électromécanique</w:t>
      </w:r>
    </w:p>
    <w:p w14:paraId="657625BC" w14:textId="0AD8480E" w:rsidR="00403BCC" w:rsidRDefault="00403BCC" w:rsidP="00403BCC">
      <w:pPr>
        <w:pStyle w:val="PR5"/>
        <w:numPr>
          <w:ilvl w:val="2"/>
          <w:numId w:val="19"/>
        </w:numPr>
      </w:pPr>
      <w:r>
        <w:t xml:space="preserve">Plages :</w:t>
      </w:r>
    </w:p>
    <w:p w14:paraId="2650FD76" w14:textId="7EFA3498" w:rsidR="00403BCC" w:rsidRDefault="00403BCC" w:rsidP="00403BCC">
      <w:pPr>
        <w:pStyle w:val="PR5"/>
        <w:numPr>
          <w:ilvl w:val="3"/>
          <w:numId w:val="19"/>
        </w:numPr>
      </w:pPr>
      <w:r>
        <w:t xml:space="preserve">Mesure :  0 à 10 ppm pleine échelle</w:t>
      </w:r>
    </w:p>
    <w:p w14:paraId="1D33ED1D" w14:textId="71E6EC04" w:rsidR="00403BCC" w:rsidRDefault="00403BCC" w:rsidP="00403BCC">
      <w:pPr>
        <w:pStyle w:val="PR5"/>
        <w:numPr>
          <w:ilvl w:val="3"/>
          <w:numId w:val="19"/>
        </w:numPr>
      </w:pPr>
      <w:r>
        <w:t xml:space="preserve">Portée de détection : 50 pi (15 m)</w:t>
      </w:r>
    </w:p>
    <w:p w14:paraId="096FA18A" w14:textId="3756895F" w:rsidR="00403BCC" w:rsidRDefault="00403BCC" w:rsidP="00403BCC">
      <w:pPr>
        <w:pStyle w:val="PR5"/>
        <w:numPr>
          <w:ilvl w:val="3"/>
          <w:numId w:val="19"/>
        </w:numPr>
      </w:pPr>
      <w:r>
        <w:t xml:space="preserve">Température de fonctionnement :  </w:t>
      </w:r>
      <w:r>
        <w:rPr>
          <w:b/>
          <w:bCs/>
          <w:color w:val="FF0000"/>
        </w:rPr>
        <w:t xml:space="preserve">-4 à 104 ℉</w:t>
      </w:r>
      <w:r>
        <w:rPr>
          <w:color w:val="FF0000"/>
        </w:rPr>
        <w:t xml:space="preserve"> </w:t>
      </w:r>
      <w:r>
        <w:rPr>
          <w:b/>
          <w:bCs/>
          <w:color w:val="4472C4" w:themeColor="accent5"/>
        </w:rPr>
        <w:t xml:space="preserve">(-20 à 40 ℃)</w:t>
      </w:r>
    </w:p>
    <w:p w14:paraId="1CF505DA" w14:textId="71626730" w:rsidR="00403BCC" w:rsidRDefault="00403BCC" w:rsidP="00403BCC">
      <w:pPr>
        <w:pStyle w:val="PR5"/>
        <w:numPr>
          <w:ilvl w:val="3"/>
          <w:numId w:val="19"/>
        </w:numPr>
      </w:pPr>
      <w:r>
        <w:t xml:space="preserve">Humidité :</w:t>
      </w:r>
    </w:p>
    <w:p w14:paraId="02B4EEF8" w14:textId="06E239CE" w:rsidR="00974712" w:rsidRPr="00C56EF6" w:rsidRDefault="00F92426" w:rsidP="00974712">
      <w:pPr>
        <w:pStyle w:val="PR5"/>
        <w:numPr>
          <w:ilvl w:val="4"/>
          <w:numId w:val="19"/>
        </w:numPr>
      </w:pPr>
      <w:r>
        <w:t xml:space="preserve">15 à 90 % HR maximale continue</w:t>
      </w:r>
    </w:p>
    <w:p w14:paraId="671DA302" w14:textId="6BD9F474" w:rsidR="00403BCC" w:rsidRPr="00241BA9" w:rsidRDefault="00F92426" w:rsidP="00402B10">
      <w:pPr>
        <w:pStyle w:val="PR5"/>
        <w:numPr>
          <w:ilvl w:val="4"/>
          <w:numId w:val="19"/>
        </w:numPr>
      </w:pPr>
      <w:r>
        <w:t xml:space="preserve">0 à 99 % HR/ continue, intermittente, sans condensation</w:t>
      </w:r>
    </w:p>
    <w:p w14:paraId="1B1E87CA" w14:textId="77777777" w:rsidR="00457D53" w:rsidRDefault="00457D53" w:rsidP="00457D53">
      <w:pPr>
        <w:pStyle w:val="PR5"/>
        <w:numPr>
          <w:ilvl w:val="2"/>
          <w:numId w:val="19"/>
        </w:numPr>
      </w:pPr>
      <w:r>
        <w:t xml:space="preserve">Rendement :</w:t>
      </w:r>
    </w:p>
    <w:p w14:paraId="7D4C2054" w14:textId="1B60873F" w:rsidR="00457D53" w:rsidRDefault="00457D53" w:rsidP="00457D53">
      <w:pPr>
        <w:pStyle w:val="PR5"/>
        <w:numPr>
          <w:ilvl w:val="3"/>
          <w:numId w:val="19"/>
        </w:numPr>
      </w:pPr>
      <w:r>
        <w:t xml:space="preserve">Précision : + 6,5 % pleine échelle (0 à 2 ppm)</w:t>
      </w:r>
    </w:p>
    <w:p w14:paraId="6C812F73" w14:textId="16303469" w:rsidR="00457D53" w:rsidRDefault="00457D53" w:rsidP="00457D53">
      <w:pPr>
        <w:pStyle w:val="PR5"/>
        <w:numPr>
          <w:ilvl w:val="3"/>
          <w:numId w:val="19"/>
        </w:numPr>
      </w:pPr>
      <w:r>
        <w:t xml:space="preserve">Dérive :</w:t>
        <w:tab/>
        <w:t xml:space="preserve">&lt;+2 % (par mois)</w:t>
      </w:r>
    </w:p>
    <w:p w14:paraId="47CAEB74" w14:textId="03D8E266" w:rsidR="00A751E6" w:rsidRDefault="00A751E6" w:rsidP="00CF688D">
      <w:pPr>
        <w:pStyle w:val="PR5"/>
        <w:numPr>
          <w:ilvl w:val="3"/>
          <w:numId w:val="19"/>
        </w:numPr>
      </w:pPr>
      <w:r>
        <w:t xml:space="preserve">Répétabilité :  &lt;+2 % </w:t>
      </w:r>
    </w:p>
    <w:p w14:paraId="56E49B16" w14:textId="0FE18FB6" w:rsidR="00457D53" w:rsidRPr="005D7368" w:rsidRDefault="00457D53" w:rsidP="00241BA9">
      <w:pPr>
        <w:pStyle w:val="PR5"/>
        <w:numPr>
          <w:ilvl w:val="3"/>
          <w:numId w:val="19"/>
        </w:numPr>
      </w:pPr>
      <w:r>
        <w:t xml:space="preserve">Temps de réponse : &lt;30 secondes (T90)</w:t>
      </w:r>
    </w:p>
    <w:p w14:paraId="11EB1616" w14:textId="6E5EC9E2" w:rsidR="005D7368" w:rsidRDefault="00EE57F6" w:rsidP="005D7368">
      <w:pPr>
        <w:pStyle w:val="PR5"/>
        <w:numPr>
          <w:ilvl w:val="0"/>
          <w:numId w:val="0"/>
        </w:numPr>
        <w:ind w:left="2880"/>
      </w:pPr>
      <w:r>
        <w:t xml:space="preserve"> </w:t>
      </w:r>
    </w:p>
    <w:p w14:paraId="72117F8D" w14:textId="77777777" w:rsidR="004C7056" w:rsidRDefault="004C7056" w:rsidP="00402B10">
      <w:pPr>
        <w:pStyle w:val="PR5"/>
        <w:numPr>
          <w:ilvl w:val="1"/>
          <w:numId w:val="19"/>
        </w:numPr>
      </w:pPr>
      <w:r>
        <w:t xml:space="preserve">Alimentation :</w:t>
      </w:r>
    </w:p>
    <w:p w14:paraId="405947CB" w14:textId="3DA7D87B" w:rsidR="00DE4B55" w:rsidRDefault="004C7056" w:rsidP="00402B10">
      <w:pPr>
        <w:pStyle w:val="PR5"/>
        <w:numPr>
          <w:ilvl w:val="2"/>
          <w:numId w:val="19"/>
        </w:numPr>
      </w:pPr>
      <w:r>
        <w:t xml:space="preserve">Tension :</w:t>
        <w:tab/>
        <w:t xml:space="preserve">24 VAC</w:t>
      </w:r>
    </w:p>
    <w:p w14:paraId="18FC2A82" w14:textId="27EE5CD3" w:rsidR="004C7056" w:rsidRDefault="003C0DF2" w:rsidP="00402B10">
      <w:pPr>
        <w:pStyle w:val="PR5"/>
        <w:numPr>
          <w:ilvl w:val="2"/>
          <w:numId w:val="19"/>
        </w:numPr>
      </w:pPr>
      <w:r>
        <w:t xml:space="preserve">Fréquence :</w:t>
        <w:tab/>
        <w:t xml:space="preserve">50/60 hz</w:t>
      </w:r>
    </w:p>
    <w:p w14:paraId="513B4641" w14:textId="25D4F00D" w:rsidR="003C0DF2" w:rsidRDefault="003C0DF2" w:rsidP="00402B10">
      <w:pPr>
        <w:pStyle w:val="PR5"/>
        <w:numPr>
          <w:ilvl w:val="2"/>
          <w:numId w:val="19"/>
        </w:numPr>
      </w:pPr>
      <w:r>
        <w:t xml:space="preserve">Puissance apparente :  5 VA (210 mA)</w:t>
      </w:r>
    </w:p>
    <w:p w14:paraId="7509F9F0" w14:textId="77777777" w:rsidR="00466FE1" w:rsidRDefault="00466FE1" w:rsidP="00241BA9">
      <w:pPr>
        <w:pStyle w:val="PR5"/>
        <w:numPr>
          <w:ilvl w:val="0"/>
          <w:numId w:val="0"/>
        </w:numPr>
        <w:ind w:left="1440"/>
      </w:pPr>
    </w:p>
    <w:p w14:paraId="47386895" w14:textId="159CE027" w:rsidR="003C0DF2" w:rsidRDefault="003C0DF2" w:rsidP="00402B10">
      <w:pPr>
        <w:pStyle w:val="PR5"/>
        <w:numPr>
          <w:ilvl w:val="1"/>
          <w:numId w:val="19"/>
        </w:numPr>
      </w:pPr>
      <w:r>
        <w:t xml:space="preserve">Sorties :</w:t>
      </w:r>
    </w:p>
    <w:p w14:paraId="24BE69AF" w14:textId="77777777" w:rsidR="003C0DF2" w:rsidRDefault="003C0DF2" w:rsidP="00402B10">
      <w:pPr>
        <w:pStyle w:val="PR5"/>
        <w:numPr>
          <w:ilvl w:val="2"/>
          <w:numId w:val="19"/>
        </w:numPr>
      </w:pPr>
      <w:r>
        <w:t xml:space="preserve">Type A</w:t>
      </w:r>
    </w:p>
    <w:p w14:paraId="7F52A7F4" w14:textId="46215706" w:rsidR="003C0DF2" w:rsidRDefault="003C0DF2" w:rsidP="003C0DF2">
      <w:pPr>
        <w:pStyle w:val="PR5"/>
        <w:numPr>
          <w:ilvl w:val="4"/>
          <w:numId w:val="19"/>
        </w:numPr>
      </w:pPr>
      <w:r>
        <w:t xml:space="preserve">Binaire :</w:t>
        <w:tab/>
        <w:t xml:space="preserve">(1) relais SPDT 5 A @ 125 VAC</w:t>
      </w:r>
    </w:p>
    <w:p w14:paraId="62C007AD" w14:textId="5436C634" w:rsidR="003C0DF2" w:rsidRDefault="003C0DF2" w:rsidP="003C0DF2">
      <w:pPr>
        <w:pStyle w:val="PR5"/>
        <w:numPr>
          <w:ilvl w:val="4"/>
          <w:numId w:val="19"/>
        </w:numPr>
      </w:pPr>
      <w:r>
        <w:t xml:space="preserve">Analogiques :</w:t>
        <w:tab/>
        <w:t xml:space="preserve">(2), 4 à 20 mA ou 2 à 10 VDC</w:t>
      </w:r>
    </w:p>
    <w:p w14:paraId="05DE1E21" w14:textId="77777777" w:rsidR="003C0DF2" w:rsidRDefault="003C0DF2" w:rsidP="00402B10">
      <w:pPr>
        <w:pStyle w:val="PR5"/>
        <w:numPr>
          <w:ilvl w:val="2"/>
          <w:numId w:val="19"/>
        </w:numPr>
      </w:pPr>
      <w:r>
        <w:t xml:space="preserve">Type B</w:t>
      </w:r>
    </w:p>
    <w:p w14:paraId="7911E479" w14:textId="6B28CC5C" w:rsidR="003C0DF2" w:rsidRDefault="003C0DF2" w:rsidP="003C0DF2">
      <w:pPr>
        <w:pStyle w:val="PR5"/>
        <w:numPr>
          <w:ilvl w:val="4"/>
          <w:numId w:val="19"/>
        </w:numPr>
      </w:pPr>
      <w:r>
        <w:t xml:space="preserve">Binaire :</w:t>
        <w:tab/>
        <w:t xml:space="preserve">(2) relais SPDT 5 A @ 125 VAC</w:t>
      </w:r>
    </w:p>
    <w:p w14:paraId="304FD580" w14:textId="726F4730" w:rsidR="00FE158F" w:rsidRDefault="00FE158F" w:rsidP="00FE158F">
      <w:pPr>
        <w:pStyle w:val="PR5"/>
        <w:numPr>
          <w:ilvl w:val="1"/>
          <w:numId w:val="19"/>
        </w:numPr>
      </w:pPr>
      <w:r>
        <w:t xml:space="preserve">Interface utilisateur</w:t>
      </w:r>
    </w:p>
    <w:p w14:paraId="1E46E93C" w14:textId="2688C551" w:rsidR="00FE158F" w:rsidRDefault="00FE158F" w:rsidP="00FE158F">
      <w:pPr>
        <w:pStyle w:val="PR5"/>
        <w:numPr>
          <w:ilvl w:val="2"/>
          <w:numId w:val="19"/>
        </w:numPr>
      </w:pPr>
      <w:r>
        <w:t xml:space="preserve">Affichage à ACL rétroéclairé de la concentration de gaz, des paramètres de l'utilisateur et des commandes d'étalonnage.</w:t>
      </w:r>
    </w:p>
    <w:p w14:paraId="59167EC0" w14:textId="438D3A31" w:rsidR="00FE158F" w:rsidRDefault="00FE158F" w:rsidP="00FE158F">
      <w:pPr>
        <w:pStyle w:val="PR5"/>
        <w:numPr>
          <w:ilvl w:val="2"/>
          <w:numId w:val="19"/>
        </w:numPr>
      </w:pPr>
      <w:r>
        <w:t xml:space="preserve">Indicateurs d'alarme à DEL pour 3 niveaux d'alarme :  rouge pour les niveaux de gaz 1 et 2; stroboscope blanc à haute intensité pour le niveau de gaz 3.</w:t>
      </w:r>
    </w:p>
    <w:p w14:paraId="1BFE46B7" w14:textId="2105AE5E" w:rsidR="00FE158F" w:rsidRDefault="00FE158F" w:rsidP="00FE158F">
      <w:pPr>
        <w:pStyle w:val="PR5"/>
        <w:numPr>
          <w:ilvl w:val="2"/>
          <w:numId w:val="19"/>
        </w:numPr>
      </w:pPr>
      <w:r>
        <w:t xml:space="preserve">Alarme sonore, 80 db à 1 mètre (3,3 pi).</w:t>
      </w:r>
    </w:p>
    <w:p w14:paraId="775B212C" w14:textId="77777777" w:rsidR="005E0410" w:rsidRDefault="005E0410" w:rsidP="005E0410">
      <w:pPr>
        <w:pStyle w:val="PR5"/>
        <w:numPr>
          <w:ilvl w:val="0"/>
          <w:numId w:val="0"/>
        </w:numPr>
        <w:ind w:left="1440"/>
      </w:pPr>
    </w:p>
    <w:p w14:paraId="66A2805F" w14:textId="5F915040" w:rsidR="006A44E0" w:rsidRDefault="00FE158F" w:rsidP="00FE158F">
      <w:pPr>
        <w:pStyle w:val="PR5"/>
        <w:numPr>
          <w:ilvl w:val="1"/>
          <w:numId w:val="19"/>
        </w:numPr>
      </w:pPr>
      <w:r>
        <w:t xml:space="preserve">Homologations :</w:t>
      </w:r>
    </w:p>
    <w:p w14:paraId="034EC611" w14:textId="73FC3E30" w:rsidR="006A44E0" w:rsidRDefault="006A44E0" w:rsidP="006A44E0">
      <w:pPr>
        <w:pStyle w:val="PR5"/>
        <w:numPr>
          <w:ilvl w:val="2"/>
          <w:numId w:val="19"/>
        </w:numPr>
      </w:pPr>
      <w:r>
        <w:t xml:space="preserve">Ensembles UL 2075 et ULC-S588 pour les détecteurs de CO simples, de NO2 simples et CO/NO</w:t>
      </w:r>
      <w:r>
        <w:rPr>
          <w:vertAlign w:val="subscript"/>
        </w:rPr>
        <w:t xml:space="preserve">2</w:t>
      </w:r>
      <w:r>
        <w:t xml:space="preserve"> doubles; CSA C22.2. No. 61010-1-12, boîtier de protection UL94 5VA.</w:t>
      </w:r>
    </w:p>
    <w:p w14:paraId="1242E89F" w14:textId="77777777" w:rsidR="005E0410" w:rsidRDefault="005E0410" w:rsidP="005E0410">
      <w:pPr>
        <w:pStyle w:val="PR5"/>
        <w:numPr>
          <w:ilvl w:val="0"/>
          <w:numId w:val="0"/>
        </w:numPr>
        <w:ind w:left="1440"/>
      </w:pPr>
    </w:p>
    <w:p w14:paraId="19F1EA7A" w14:textId="3E77A6CB" w:rsidR="007C0345" w:rsidRDefault="007C0345" w:rsidP="007C0345">
      <w:pPr>
        <w:pStyle w:val="PR5"/>
        <w:numPr>
          <w:ilvl w:val="1"/>
          <w:numId w:val="19"/>
        </w:numPr>
      </w:pPr>
      <w:r>
        <w:t xml:space="preserve">Communication :</w:t>
      </w:r>
    </w:p>
    <w:p w14:paraId="703337A4" w14:textId="412FFC66" w:rsidR="007C0345" w:rsidRDefault="00402B10" w:rsidP="007C0345">
      <w:pPr>
        <w:pStyle w:val="PR5"/>
        <w:numPr>
          <w:ilvl w:val="2"/>
          <w:numId w:val="19"/>
        </w:numPr>
      </w:pPr>
      <w:r>
        <w:t xml:space="preserve">fonctionnement du réseau CAN en tant que nœuds adressables.</w:t>
      </w:r>
    </w:p>
    <w:p w14:paraId="33AA451C" w14:textId="7910BD7F" w:rsidR="00402B10" w:rsidRDefault="00402B10" w:rsidP="007C0345">
      <w:pPr>
        <w:pStyle w:val="PR5"/>
        <w:numPr>
          <w:ilvl w:val="2"/>
          <w:numId w:val="19"/>
        </w:numPr>
      </w:pPr>
      <w:r>
        <w:t xml:space="preserve">MS/TP RS485 BACnet homologué par BTL pour l'intégration au système immotique.</w:t>
      </w:r>
    </w:p>
    <w:p w14:paraId="567873FA" w14:textId="79DAD0DA" w:rsidR="007C0345" w:rsidRDefault="007C0345" w:rsidP="00402B10">
      <w:pPr>
        <w:pStyle w:val="PR5"/>
        <w:numPr>
          <w:ilvl w:val="0"/>
          <w:numId w:val="0"/>
        </w:numPr>
        <w:ind w:left="1440"/>
      </w:pPr>
      <w:r>
        <w:t xml:space="preserve"> </w:t>
      </w:r>
    </w:p>
    <w:sectPr w:rsidR="007C0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BCD0" w14:textId="77777777" w:rsidR="00896C25" w:rsidRDefault="00896C25" w:rsidP="0059760C">
      <w:pPr>
        <w:spacing w:after="0" w:line="240" w:lineRule="auto"/>
      </w:pPr>
      <w:r>
        <w:separator/>
      </w:r>
    </w:p>
  </w:endnote>
  <w:endnote w:type="continuationSeparator" w:id="0">
    <w:p w14:paraId="40BF4FB7" w14:textId="77777777" w:rsidR="00896C25" w:rsidRDefault="00896C25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D91F" w14:textId="77777777" w:rsidR="001E0D6F" w:rsidRDefault="001E0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1949" w14:textId="3F71989A" w:rsidR="006B73DA" w:rsidRDefault="00466FE1">
    <w:pPr>
      <w:pStyle w:val="Footer"/>
    </w:pPr>
    <w:r>
      <w:t xml:space="preserve">SURVEILLANCE DES GAZ (10162023)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187" w14:textId="77777777" w:rsidR="001E0D6F" w:rsidRDefault="001E0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4429" w14:textId="77777777" w:rsidR="00896C25" w:rsidRDefault="00896C25" w:rsidP="0059760C">
      <w:pPr>
        <w:spacing w:after="0" w:line="240" w:lineRule="auto"/>
      </w:pPr>
      <w:r>
        <w:separator/>
      </w:r>
    </w:p>
  </w:footnote>
  <w:footnote w:type="continuationSeparator" w:id="0">
    <w:p w14:paraId="32A1E2F1" w14:textId="77777777" w:rsidR="00896C25" w:rsidRDefault="00896C25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B1A9" w14:textId="77777777" w:rsidR="001E0D6F" w:rsidRDefault="001E0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771C" w14:textId="77777777" w:rsidR="006B73DA" w:rsidRDefault="006B73D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CE62A2" wp14:editId="65AA8E4B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 descr="NEWBel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Bel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5A36" w14:textId="77777777" w:rsidR="001E0D6F" w:rsidRDefault="001E0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9FE80D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5796"/>
        </w:tabs>
        <w:ind w:left="579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3276"/>
        </w:tabs>
        <w:ind w:left="3276" w:hanging="576"/>
      </w:pPr>
      <w:rPr>
        <w:rFonts w:hint="default"/>
        <w:b w:val="0"/>
      </w:rPr>
    </w:lvl>
    <w:lvl w:ilvl="8">
      <w:start w:val="1"/>
      <w:numFmt w:val="upperLetter"/>
      <w:pStyle w:val="PR5"/>
      <w:lvlText w:val="%9."/>
      <w:lvlJc w:val="left"/>
      <w:pPr>
        <w:tabs>
          <w:tab w:val="num" w:pos="6426"/>
        </w:tabs>
        <w:ind w:left="6426" w:hanging="576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EA4796"/>
    <w:multiLevelType w:val="multilevel"/>
    <w:tmpl w:val="0A84C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1E103E"/>
    <w:multiLevelType w:val="multilevel"/>
    <w:tmpl w:val="06344A5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900881"/>
    <w:multiLevelType w:val="multilevel"/>
    <w:tmpl w:val="2424DE46"/>
    <w:lvl w:ilvl="0">
      <w:start w:val="1"/>
      <w:numFmt w:val="decimal"/>
      <w:pStyle w:val="Heading1"/>
      <w:suff w:val="nothing"/>
      <w:lvlText w:val="Section %1"/>
      <w:lvlJc w:val="left"/>
      <w:pPr>
        <w:ind w:left="0" w:firstLine="0"/>
      </w:pPr>
    </w:lvl>
    <w:lvl w:ilvl="1">
      <w:start w:val="1"/>
      <w:numFmt w:val="decimal"/>
      <w:pStyle w:val="Heading2"/>
      <w:suff w:val="nothing"/>
      <w:lvlText w:val="Part %2 - 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pStyle w:val="Heading4"/>
      <w:lvlText w:val="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Heading6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pStyle w:val="Heading9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8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2181A"/>
    <w:multiLevelType w:val="multilevel"/>
    <w:tmpl w:val="8EFE1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6516046">
    <w:abstractNumId w:val="0"/>
  </w:num>
  <w:num w:numId="2" w16cid:durableId="366178430">
    <w:abstractNumId w:val="5"/>
  </w:num>
  <w:num w:numId="3" w16cid:durableId="585044049">
    <w:abstractNumId w:val="0"/>
  </w:num>
  <w:num w:numId="4" w16cid:durableId="193797523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37078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72469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6415412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344602221">
    <w:abstractNumId w:val="6"/>
  </w:num>
  <w:num w:numId="9" w16cid:durableId="1298608859">
    <w:abstractNumId w:val="2"/>
  </w:num>
  <w:num w:numId="10" w16cid:durableId="1673217310">
    <w:abstractNumId w:val="9"/>
  </w:num>
  <w:num w:numId="11" w16cid:durableId="1867522203">
    <w:abstractNumId w:val="8"/>
  </w:num>
  <w:num w:numId="12" w16cid:durableId="230888222">
    <w:abstractNumId w:val="4"/>
  </w:num>
  <w:num w:numId="13" w16cid:durableId="27243896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48555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58902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599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3912907">
    <w:abstractNumId w:val="10"/>
  </w:num>
  <w:num w:numId="18" w16cid:durableId="1745294259">
    <w:abstractNumId w:val="1"/>
  </w:num>
  <w:num w:numId="19" w16cid:durableId="193758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146F"/>
    <w:rsid w:val="00025006"/>
    <w:rsid w:val="0002678C"/>
    <w:rsid w:val="000401D8"/>
    <w:rsid w:val="000741EF"/>
    <w:rsid w:val="00076112"/>
    <w:rsid w:val="0007731D"/>
    <w:rsid w:val="00084DA7"/>
    <w:rsid w:val="000874EE"/>
    <w:rsid w:val="00094126"/>
    <w:rsid w:val="00094D18"/>
    <w:rsid w:val="000A462E"/>
    <w:rsid w:val="000A6B80"/>
    <w:rsid w:val="000A7C91"/>
    <w:rsid w:val="000B433B"/>
    <w:rsid w:val="000B758C"/>
    <w:rsid w:val="000C6EA1"/>
    <w:rsid w:val="000D4256"/>
    <w:rsid w:val="000E02D6"/>
    <w:rsid w:val="000E23E7"/>
    <w:rsid w:val="000E68A7"/>
    <w:rsid w:val="00117CF6"/>
    <w:rsid w:val="00141753"/>
    <w:rsid w:val="001477F0"/>
    <w:rsid w:val="00150F9F"/>
    <w:rsid w:val="00156859"/>
    <w:rsid w:val="00166672"/>
    <w:rsid w:val="00172B5F"/>
    <w:rsid w:val="00173066"/>
    <w:rsid w:val="001730F4"/>
    <w:rsid w:val="001914A8"/>
    <w:rsid w:val="0019270A"/>
    <w:rsid w:val="001B557A"/>
    <w:rsid w:val="001C7631"/>
    <w:rsid w:val="001D62EF"/>
    <w:rsid w:val="001E05DA"/>
    <w:rsid w:val="001E0D6F"/>
    <w:rsid w:val="001F500A"/>
    <w:rsid w:val="001F6096"/>
    <w:rsid w:val="001F620D"/>
    <w:rsid w:val="001F6E2D"/>
    <w:rsid w:val="00203935"/>
    <w:rsid w:val="00203A57"/>
    <w:rsid w:val="00235E75"/>
    <w:rsid w:val="00241BA9"/>
    <w:rsid w:val="00273903"/>
    <w:rsid w:val="00276225"/>
    <w:rsid w:val="0028520D"/>
    <w:rsid w:val="00292D24"/>
    <w:rsid w:val="00295E8E"/>
    <w:rsid w:val="002B35B7"/>
    <w:rsid w:val="002D0421"/>
    <w:rsid w:val="002D5117"/>
    <w:rsid w:val="002E1D00"/>
    <w:rsid w:val="002F3A27"/>
    <w:rsid w:val="002F6234"/>
    <w:rsid w:val="0031314B"/>
    <w:rsid w:val="00316266"/>
    <w:rsid w:val="00331C43"/>
    <w:rsid w:val="00333B74"/>
    <w:rsid w:val="003620C6"/>
    <w:rsid w:val="00370616"/>
    <w:rsid w:val="0037377E"/>
    <w:rsid w:val="00382585"/>
    <w:rsid w:val="003831DB"/>
    <w:rsid w:val="003A2A1B"/>
    <w:rsid w:val="003A7269"/>
    <w:rsid w:val="003B0D10"/>
    <w:rsid w:val="003C0DF2"/>
    <w:rsid w:val="003C3D0E"/>
    <w:rsid w:val="003C4BB3"/>
    <w:rsid w:val="003C69C5"/>
    <w:rsid w:val="003C7371"/>
    <w:rsid w:val="003E290C"/>
    <w:rsid w:val="003F4741"/>
    <w:rsid w:val="003F67CB"/>
    <w:rsid w:val="00400BAE"/>
    <w:rsid w:val="00402B10"/>
    <w:rsid w:val="00403BCC"/>
    <w:rsid w:val="00411600"/>
    <w:rsid w:val="00412372"/>
    <w:rsid w:val="00413A58"/>
    <w:rsid w:val="00413BF4"/>
    <w:rsid w:val="00421DF6"/>
    <w:rsid w:val="00425322"/>
    <w:rsid w:val="0043184C"/>
    <w:rsid w:val="004478AD"/>
    <w:rsid w:val="00452048"/>
    <w:rsid w:val="00457D53"/>
    <w:rsid w:val="004666FA"/>
    <w:rsid w:val="00466FE1"/>
    <w:rsid w:val="00470B0C"/>
    <w:rsid w:val="00484AB9"/>
    <w:rsid w:val="00495087"/>
    <w:rsid w:val="004C068F"/>
    <w:rsid w:val="004C592C"/>
    <w:rsid w:val="004C7056"/>
    <w:rsid w:val="004D1C9A"/>
    <w:rsid w:val="004D2064"/>
    <w:rsid w:val="004E3938"/>
    <w:rsid w:val="00504903"/>
    <w:rsid w:val="00505A8E"/>
    <w:rsid w:val="00520054"/>
    <w:rsid w:val="00525F4F"/>
    <w:rsid w:val="005318CE"/>
    <w:rsid w:val="0053443E"/>
    <w:rsid w:val="00534C15"/>
    <w:rsid w:val="00535496"/>
    <w:rsid w:val="00550A81"/>
    <w:rsid w:val="00550BFE"/>
    <w:rsid w:val="00550D76"/>
    <w:rsid w:val="00552727"/>
    <w:rsid w:val="0059760C"/>
    <w:rsid w:val="005A24A1"/>
    <w:rsid w:val="005A7700"/>
    <w:rsid w:val="005B10AE"/>
    <w:rsid w:val="005B180F"/>
    <w:rsid w:val="005C3F02"/>
    <w:rsid w:val="005D7368"/>
    <w:rsid w:val="005E0410"/>
    <w:rsid w:val="005E10EC"/>
    <w:rsid w:val="005E4662"/>
    <w:rsid w:val="005F1BDB"/>
    <w:rsid w:val="005F524E"/>
    <w:rsid w:val="00612F58"/>
    <w:rsid w:val="006179A3"/>
    <w:rsid w:val="00627151"/>
    <w:rsid w:val="00634B77"/>
    <w:rsid w:val="006416E9"/>
    <w:rsid w:val="00643852"/>
    <w:rsid w:val="00643E61"/>
    <w:rsid w:val="00655A19"/>
    <w:rsid w:val="0067102A"/>
    <w:rsid w:val="00673073"/>
    <w:rsid w:val="006938CC"/>
    <w:rsid w:val="00694C8E"/>
    <w:rsid w:val="00697BD3"/>
    <w:rsid w:val="006A12D5"/>
    <w:rsid w:val="006A44E0"/>
    <w:rsid w:val="006A7722"/>
    <w:rsid w:val="006B070B"/>
    <w:rsid w:val="006B70C1"/>
    <w:rsid w:val="006B73DA"/>
    <w:rsid w:val="006C3C40"/>
    <w:rsid w:val="006D2FB5"/>
    <w:rsid w:val="006D74E9"/>
    <w:rsid w:val="006E25C2"/>
    <w:rsid w:val="006F765E"/>
    <w:rsid w:val="007046D3"/>
    <w:rsid w:val="007076AD"/>
    <w:rsid w:val="00707BD0"/>
    <w:rsid w:val="00712CB7"/>
    <w:rsid w:val="00717C74"/>
    <w:rsid w:val="0072244E"/>
    <w:rsid w:val="0072646C"/>
    <w:rsid w:val="00735B98"/>
    <w:rsid w:val="00750D51"/>
    <w:rsid w:val="007542D3"/>
    <w:rsid w:val="0075643A"/>
    <w:rsid w:val="0076559C"/>
    <w:rsid w:val="00775A63"/>
    <w:rsid w:val="007971E6"/>
    <w:rsid w:val="0079786E"/>
    <w:rsid w:val="00797A03"/>
    <w:rsid w:val="007A62AD"/>
    <w:rsid w:val="007B42F5"/>
    <w:rsid w:val="007B6206"/>
    <w:rsid w:val="007C0345"/>
    <w:rsid w:val="007C3980"/>
    <w:rsid w:val="007D3692"/>
    <w:rsid w:val="007E40C5"/>
    <w:rsid w:val="007F1F88"/>
    <w:rsid w:val="007F2AFF"/>
    <w:rsid w:val="00800DB3"/>
    <w:rsid w:val="00804D24"/>
    <w:rsid w:val="00814FDA"/>
    <w:rsid w:val="00825030"/>
    <w:rsid w:val="00827766"/>
    <w:rsid w:val="00832FA1"/>
    <w:rsid w:val="00836979"/>
    <w:rsid w:val="00847374"/>
    <w:rsid w:val="00850BE4"/>
    <w:rsid w:val="0086326C"/>
    <w:rsid w:val="00875360"/>
    <w:rsid w:val="00884906"/>
    <w:rsid w:val="00887EAD"/>
    <w:rsid w:val="00896C25"/>
    <w:rsid w:val="00897A51"/>
    <w:rsid w:val="008A3592"/>
    <w:rsid w:val="008A614C"/>
    <w:rsid w:val="008B118B"/>
    <w:rsid w:val="008B2DCE"/>
    <w:rsid w:val="008B4DFB"/>
    <w:rsid w:val="008B51E6"/>
    <w:rsid w:val="008B746C"/>
    <w:rsid w:val="008C444D"/>
    <w:rsid w:val="008D50A2"/>
    <w:rsid w:val="008D5910"/>
    <w:rsid w:val="008E7D52"/>
    <w:rsid w:val="00906571"/>
    <w:rsid w:val="00907864"/>
    <w:rsid w:val="009078D9"/>
    <w:rsid w:val="009140D0"/>
    <w:rsid w:val="00923EEF"/>
    <w:rsid w:val="009449CA"/>
    <w:rsid w:val="00951292"/>
    <w:rsid w:val="00962252"/>
    <w:rsid w:val="0096565A"/>
    <w:rsid w:val="00970038"/>
    <w:rsid w:val="00971055"/>
    <w:rsid w:val="00974712"/>
    <w:rsid w:val="0097728A"/>
    <w:rsid w:val="00990191"/>
    <w:rsid w:val="0099069C"/>
    <w:rsid w:val="009A55F3"/>
    <w:rsid w:val="009A5AE8"/>
    <w:rsid w:val="009D2F3A"/>
    <w:rsid w:val="009D4897"/>
    <w:rsid w:val="009D5A0E"/>
    <w:rsid w:val="009E4917"/>
    <w:rsid w:val="009F3889"/>
    <w:rsid w:val="00A03E59"/>
    <w:rsid w:val="00A203CE"/>
    <w:rsid w:val="00A31516"/>
    <w:rsid w:val="00A341B3"/>
    <w:rsid w:val="00A372B1"/>
    <w:rsid w:val="00A43B0A"/>
    <w:rsid w:val="00A50574"/>
    <w:rsid w:val="00A514B2"/>
    <w:rsid w:val="00A53EE2"/>
    <w:rsid w:val="00A574BF"/>
    <w:rsid w:val="00A62927"/>
    <w:rsid w:val="00A67553"/>
    <w:rsid w:val="00A71EA4"/>
    <w:rsid w:val="00A751E6"/>
    <w:rsid w:val="00A75572"/>
    <w:rsid w:val="00A83517"/>
    <w:rsid w:val="00A90369"/>
    <w:rsid w:val="00AA36EB"/>
    <w:rsid w:val="00AA66F1"/>
    <w:rsid w:val="00AB2AD4"/>
    <w:rsid w:val="00AB3B85"/>
    <w:rsid w:val="00AD2290"/>
    <w:rsid w:val="00AD6D0C"/>
    <w:rsid w:val="00AE57DC"/>
    <w:rsid w:val="00AF1731"/>
    <w:rsid w:val="00AF1C63"/>
    <w:rsid w:val="00AF2A00"/>
    <w:rsid w:val="00B0031C"/>
    <w:rsid w:val="00B03C92"/>
    <w:rsid w:val="00B059AB"/>
    <w:rsid w:val="00B07923"/>
    <w:rsid w:val="00B12671"/>
    <w:rsid w:val="00B1543E"/>
    <w:rsid w:val="00B215C3"/>
    <w:rsid w:val="00B24099"/>
    <w:rsid w:val="00B2707C"/>
    <w:rsid w:val="00B34629"/>
    <w:rsid w:val="00B34945"/>
    <w:rsid w:val="00B355FF"/>
    <w:rsid w:val="00B51AE5"/>
    <w:rsid w:val="00B63B19"/>
    <w:rsid w:val="00B7172E"/>
    <w:rsid w:val="00B72EE7"/>
    <w:rsid w:val="00B76B12"/>
    <w:rsid w:val="00B80AEE"/>
    <w:rsid w:val="00B81910"/>
    <w:rsid w:val="00B87807"/>
    <w:rsid w:val="00B92E88"/>
    <w:rsid w:val="00B93BE3"/>
    <w:rsid w:val="00BB3AD2"/>
    <w:rsid w:val="00BB517C"/>
    <w:rsid w:val="00BB6DFA"/>
    <w:rsid w:val="00BC2128"/>
    <w:rsid w:val="00BC2914"/>
    <w:rsid w:val="00BC361E"/>
    <w:rsid w:val="00BC47E3"/>
    <w:rsid w:val="00BD0A96"/>
    <w:rsid w:val="00BD101B"/>
    <w:rsid w:val="00BE4BFD"/>
    <w:rsid w:val="00BF3A94"/>
    <w:rsid w:val="00BF4594"/>
    <w:rsid w:val="00BF4CD2"/>
    <w:rsid w:val="00BF6752"/>
    <w:rsid w:val="00C02916"/>
    <w:rsid w:val="00C06783"/>
    <w:rsid w:val="00C12E8C"/>
    <w:rsid w:val="00C22654"/>
    <w:rsid w:val="00C25D40"/>
    <w:rsid w:val="00C25E44"/>
    <w:rsid w:val="00C27948"/>
    <w:rsid w:val="00C416C3"/>
    <w:rsid w:val="00C42E48"/>
    <w:rsid w:val="00C442A3"/>
    <w:rsid w:val="00C535E9"/>
    <w:rsid w:val="00C55A7F"/>
    <w:rsid w:val="00C56EF6"/>
    <w:rsid w:val="00C7442B"/>
    <w:rsid w:val="00C74EC5"/>
    <w:rsid w:val="00C75A8D"/>
    <w:rsid w:val="00C85BC6"/>
    <w:rsid w:val="00C94E45"/>
    <w:rsid w:val="00C95E20"/>
    <w:rsid w:val="00CB2A59"/>
    <w:rsid w:val="00CC1E9F"/>
    <w:rsid w:val="00CC3ABA"/>
    <w:rsid w:val="00CD1F55"/>
    <w:rsid w:val="00CD2136"/>
    <w:rsid w:val="00CE03A6"/>
    <w:rsid w:val="00CE2012"/>
    <w:rsid w:val="00CE4591"/>
    <w:rsid w:val="00CE60F8"/>
    <w:rsid w:val="00CE6EFA"/>
    <w:rsid w:val="00CF153E"/>
    <w:rsid w:val="00CF3A74"/>
    <w:rsid w:val="00CF3E48"/>
    <w:rsid w:val="00CF3FB0"/>
    <w:rsid w:val="00CF688D"/>
    <w:rsid w:val="00D06968"/>
    <w:rsid w:val="00D135FB"/>
    <w:rsid w:val="00D14DAA"/>
    <w:rsid w:val="00D21DA2"/>
    <w:rsid w:val="00D24439"/>
    <w:rsid w:val="00D24D78"/>
    <w:rsid w:val="00D26D7C"/>
    <w:rsid w:val="00D3058D"/>
    <w:rsid w:val="00D500D8"/>
    <w:rsid w:val="00D562CA"/>
    <w:rsid w:val="00D56AAC"/>
    <w:rsid w:val="00D56ABE"/>
    <w:rsid w:val="00D7002B"/>
    <w:rsid w:val="00D81E79"/>
    <w:rsid w:val="00D84187"/>
    <w:rsid w:val="00D928FB"/>
    <w:rsid w:val="00D93D8A"/>
    <w:rsid w:val="00DA529F"/>
    <w:rsid w:val="00DB4291"/>
    <w:rsid w:val="00DB468B"/>
    <w:rsid w:val="00DC233A"/>
    <w:rsid w:val="00DC7E28"/>
    <w:rsid w:val="00DD1159"/>
    <w:rsid w:val="00DD279D"/>
    <w:rsid w:val="00DD2E43"/>
    <w:rsid w:val="00DE24AB"/>
    <w:rsid w:val="00DE4B55"/>
    <w:rsid w:val="00DE6895"/>
    <w:rsid w:val="00DF11E2"/>
    <w:rsid w:val="00DF775D"/>
    <w:rsid w:val="00E03EB4"/>
    <w:rsid w:val="00E1291A"/>
    <w:rsid w:val="00E21C60"/>
    <w:rsid w:val="00E2428D"/>
    <w:rsid w:val="00E26297"/>
    <w:rsid w:val="00E4147E"/>
    <w:rsid w:val="00E45082"/>
    <w:rsid w:val="00E4783C"/>
    <w:rsid w:val="00E51031"/>
    <w:rsid w:val="00E62A1A"/>
    <w:rsid w:val="00E9052B"/>
    <w:rsid w:val="00E90864"/>
    <w:rsid w:val="00EB3CA1"/>
    <w:rsid w:val="00EC11BF"/>
    <w:rsid w:val="00EC1E2B"/>
    <w:rsid w:val="00ED12CE"/>
    <w:rsid w:val="00ED5E66"/>
    <w:rsid w:val="00ED7DC5"/>
    <w:rsid w:val="00EE1AB5"/>
    <w:rsid w:val="00EE57F6"/>
    <w:rsid w:val="00EF5A63"/>
    <w:rsid w:val="00EF6D9F"/>
    <w:rsid w:val="00F10ED8"/>
    <w:rsid w:val="00F11E26"/>
    <w:rsid w:val="00F2113A"/>
    <w:rsid w:val="00F22DD0"/>
    <w:rsid w:val="00F30C4A"/>
    <w:rsid w:val="00F34619"/>
    <w:rsid w:val="00F34B5A"/>
    <w:rsid w:val="00F35F35"/>
    <w:rsid w:val="00F41263"/>
    <w:rsid w:val="00F42E3E"/>
    <w:rsid w:val="00F51758"/>
    <w:rsid w:val="00F80022"/>
    <w:rsid w:val="00F9119B"/>
    <w:rsid w:val="00F92426"/>
    <w:rsid w:val="00F929C2"/>
    <w:rsid w:val="00FA4F08"/>
    <w:rsid w:val="00FA761F"/>
    <w:rsid w:val="00FB3AC9"/>
    <w:rsid w:val="00FC03DD"/>
    <w:rsid w:val="00FC2DCF"/>
    <w:rsid w:val="00FD31E0"/>
    <w:rsid w:val="00FD6ADE"/>
    <w:rsid w:val="00FE0593"/>
    <w:rsid w:val="00FE158F"/>
    <w:rsid w:val="00FE3C6D"/>
    <w:rsid w:val="00FF2D9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F418F"/>
  <w15:chartTrackingRefBased/>
  <w15:docId w15:val="{DA75E5C2-EF0A-4BD8-98A9-56D129C6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FS10,DPA,WCCSB,FS101,DPA1,WCCSB1,PT"/>
    <w:basedOn w:val="Normal"/>
    <w:next w:val="Heading2"/>
    <w:link w:val="Heading1Char"/>
    <w:qFormat/>
    <w:rsid w:val="009078D9"/>
    <w:pPr>
      <w:keepNext/>
      <w:numPr>
        <w:numId w:val="16"/>
      </w:numPr>
      <w:spacing w:after="0" w:line="240" w:lineRule="auto"/>
      <w:outlineLvl w:val="0"/>
    </w:pPr>
    <w:rPr>
      <w:rFonts w:ascii="Arial" w:eastAsia="Times New Roman" w:hAnsi="Arial" w:cs="Arial"/>
      <w:bCs/>
      <w:i/>
      <w:vanish/>
    </w:rPr>
  </w:style>
  <w:style w:type="paragraph" w:styleId="Heading2">
    <w:name w:val="heading 2"/>
    <w:aliases w:val="Heading 2-FS10,Heading 2-DPA,Heading 2-WCCSB,Heading 2-FS101,Heading 2-DPA1,Heading 2-WCCSB1"/>
    <w:basedOn w:val="Heading1"/>
    <w:next w:val="Heading3"/>
    <w:link w:val="Heading2Char"/>
    <w:semiHidden/>
    <w:unhideWhenUsed/>
    <w:qFormat/>
    <w:rsid w:val="009078D9"/>
    <w:pPr>
      <w:numPr>
        <w:ilvl w:val="1"/>
      </w:numPr>
      <w:spacing w:before="220"/>
      <w:outlineLvl w:val="1"/>
    </w:pPr>
    <w:rPr>
      <w:rFonts w:ascii="Times New Roman" w:hAnsi="Times New Roman"/>
      <w:bCs w:val="0"/>
      <w:i w:val="0"/>
      <w:iCs/>
      <w:caps/>
      <w:vanish w:val="0"/>
    </w:rPr>
  </w:style>
  <w:style w:type="paragraph" w:styleId="Heading3">
    <w:name w:val="heading 3"/>
    <w:aliases w:val="Heading 3-FS10,Heading 3-DPA,Heading 3-WCCSB,Heading 3-FS101,Heading 3-DPA1,Heading 3-WCCSB1"/>
    <w:basedOn w:val="Heading2"/>
    <w:next w:val="Heading4"/>
    <w:link w:val="Heading3Char"/>
    <w:semiHidden/>
    <w:unhideWhenUsed/>
    <w:qFormat/>
    <w:rsid w:val="009078D9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aliases w:val="Heading 4-FS10,Heading 4-DPA,Heading 4-WCCSB,Heading 4-FS101,Heading 4-DPA1,Heading 4-WCCSB1"/>
    <w:basedOn w:val="Heading3"/>
    <w:next w:val="Heading5"/>
    <w:link w:val="Heading4Char"/>
    <w:semiHidden/>
    <w:unhideWhenUsed/>
    <w:qFormat/>
    <w:rsid w:val="009078D9"/>
    <w:pPr>
      <w:keepNext w:val="0"/>
      <w:numPr>
        <w:ilvl w:val="3"/>
      </w:numPr>
      <w:outlineLvl w:val="3"/>
    </w:pPr>
    <w:rPr>
      <w:bCs w:val="0"/>
      <w:caps w:val="0"/>
      <w:szCs w:val="28"/>
    </w:rPr>
  </w:style>
  <w:style w:type="paragraph" w:styleId="Heading5">
    <w:name w:val="heading 5"/>
    <w:aliases w:val="Heading 5-FS10,Heading 5-DPA,Heading 5-WCCSB,Heading 5-FS101,Heading 5-DPA1,Heading 5-WCCSB1"/>
    <w:basedOn w:val="Heading4"/>
    <w:link w:val="Heading5Char"/>
    <w:semiHidden/>
    <w:unhideWhenUsed/>
    <w:qFormat/>
    <w:rsid w:val="009078D9"/>
    <w:pPr>
      <w:numPr>
        <w:ilvl w:val="4"/>
      </w:numPr>
      <w:contextualSpacing/>
      <w:outlineLvl w:val="4"/>
    </w:pPr>
    <w:rPr>
      <w:bCs/>
      <w:iCs w:val="0"/>
      <w:szCs w:val="26"/>
    </w:rPr>
  </w:style>
  <w:style w:type="paragraph" w:styleId="Heading6">
    <w:name w:val="heading 6"/>
    <w:aliases w:val="Heading 6-FS10,Heading 6-DPA,Heading 6-WCCSB,Heading 6-FS101,Heading 6-DPA1,Heading 6-WCCSB1"/>
    <w:basedOn w:val="Heading5"/>
    <w:link w:val="Heading6Char"/>
    <w:semiHidden/>
    <w:unhideWhenUsed/>
    <w:qFormat/>
    <w:rsid w:val="009078D9"/>
    <w:pPr>
      <w:numPr>
        <w:ilvl w:val="5"/>
      </w:numPr>
      <w:tabs>
        <w:tab w:val="clear" w:pos="2160"/>
        <w:tab w:val="num" w:pos="2880"/>
      </w:tabs>
      <w:ind w:left="2880" w:hanging="720"/>
      <w:outlineLvl w:val="5"/>
    </w:pPr>
    <w:rPr>
      <w:bCs w:val="0"/>
      <w:szCs w:val="22"/>
    </w:rPr>
  </w:style>
  <w:style w:type="paragraph" w:styleId="Heading7">
    <w:name w:val="heading 7"/>
    <w:aliases w:val="Heading 7-FS10,Heading 7-DPA,Heading 7-WCCSB,Heading 7-FS101,Heading 7-DPA1,Heading 7-WCCSB1"/>
    <w:basedOn w:val="Heading6"/>
    <w:link w:val="Heading7Char"/>
    <w:semiHidden/>
    <w:unhideWhenUsed/>
    <w:qFormat/>
    <w:rsid w:val="009078D9"/>
    <w:pPr>
      <w:numPr>
        <w:ilvl w:val="6"/>
      </w:numPr>
      <w:tabs>
        <w:tab w:val="clear" w:pos="2880"/>
        <w:tab w:val="num" w:pos="3600"/>
      </w:tabs>
      <w:ind w:left="3600"/>
      <w:outlineLvl w:val="6"/>
    </w:pPr>
    <w:rPr>
      <w:rFonts w:ascii="Times New Roman" w:hAnsi="Times New Roman"/>
    </w:rPr>
  </w:style>
  <w:style w:type="paragraph" w:styleId="Heading8">
    <w:name w:val="heading 8"/>
    <w:aliases w:val="Heading 8-FS10,Heading 8-DPA,Heading 8-WCCSB,Heading 8-FS101,Heading 8-DPA1,Heading 8-WCCSB1"/>
    <w:basedOn w:val="Heading7"/>
    <w:link w:val="Heading8Char"/>
    <w:semiHidden/>
    <w:unhideWhenUsed/>
    <w:qFormat/>
    <w:rsid w:val="009078D9"/>
    <w:pPr>
      <w:numPr>
        <w:ilvl w:val="7"/>
      </w:numPr>
      <w:tabs>
        <w:tab w:val="clear" w:pos="2880"/>
        <w:tab w:val="left" w:pos="4320"/>
      </w:tabs>
      <w:ind w:left="4320" w:hanging="720"/>
      <w:outlineLvl w:val="7"/>
    </w:pPr>
    <w:rPr>
      <w:iCs/>
    </w:rPr>
  </w:style>
  <w:style w:type="paragraph" w:styleId="Heading9">
    <w:name w:val="heading 9"/>
    <w:aliases w:val="Heading 9-SWCC,Heading 9-DPA,Heading 9-WCCSB,Heading 9-SWCC1,Heading 9-DPA1,Heading 9-WCCSB1"/>
    <w:basedOn w:val="Heading8"/>
    <w:link w:val="Heading9Char"/>
    <w:semiHidden/>
    <w:unhideWhenUsed/>
    <w:qFormat/>
    <w:rsid w:val="009078D9"/>
    <w:pPr>
      <w:numPr>
        <w:ilvl w:val="8"/>
      </w:num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tabs>
        <w:tab w:val="clear" w:pos="5796"/>
        <w:tab w:val="num" w:pos="2016"/>
      </w:tabs>
      <w:suppressAutoHyphens/>
      <w:spacing w:after="0" w:line="240" w:lineRule="auto"/>
      <w:ind w:left="2016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tabs>
        <w:tab w:val="clear" w:pos="3276"/>
        <w:tab w:val="num" w:pos="2592"/>
      </w:tabs>
      <w:suppressAutoHyphens/>
      <w:spacing w:after="0" w:line="240" w:lineRule="auto"/>
      <w:ind w:left="2592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D1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18"/>
    <w:rPr>
      <w:b/>
      <w:bCs/>
    </w:rPr>
  </w:style>
  <w:style w:type="paragraph" w:styleId="Revision">
    <w:name w:val="Revision"/>
    <w:hidden/>
    <w:uiPriority w:val="99"/>
    <w:semiHidden/>
    <w:rsid w:val="00550D76"/>
    <w:rPr>
      <w:sz w:val="22"/>
      <w:szCs w:val="22"/>
    </w:rPr>
  </w:style>
  <w:style w:type="character" w:customStyle="1" w:styleId="Heading1Char">
    <w:name w:val="Heading 1 Char"/>
    <w:aliases w:val="FS10 Char,DPA Char,WCCSB Char,FS101 Char,DPA1 Char,WCCSB1 Char,PT Char"/>
    <w:basedOn w:val="DefaultParagraphFont"/>
    <w:link w:val="Heading1"/>
    <w:rsid w:val="009078D9"/>
    <w:rPr>
      <w:rFonts w:ascii="Arial" w:eastAsia="Times New Roman" w:hAnsi="Arial" w:cs="Arial"/>
      <w:bCs/>
      <w:i/>
      <w:vanish/>
      <w:sz w:val="22"/>
      <w:szCs w:val="22"/>
    </w:rPr>
  </w:style>
  <w:style w:type="character" w:customStyle="1" w:styleId="Heading2Char">
    <w:name w:val="Heading 2 Char"/>
    <w:aliases w:val="Heading 2-FS10 Char,Heading 2-DPA Char,Heading 2-WCCSB Char,Heading 2-FS101 Char,Heading 2-DPA1 Char,Heading 2-WCCSB1 Char"/>
    <w:basedOn w:val="DefaultParagraphFont"/>
    <w:link w:val="Heading2"/>
    <w:semiHidden/>
    <w:rsid w:val="009078D9"/>
    <w:rPr>
      <w:rFonts w:ascii="Times New Roman" w:eastAsia="Times New Roman" w:hAnsi="Times New Roman" w:cs="Arial"/>
      <w:iCs/>
      <w:caps/>
      <w:sz w:val="22"/>
      <w:szCs w:val="22"/>
    </w:rPr>
  </w:style>
  <w:style w:type="character" w:customStyle="1" w:styleId="Heading3Char">
    <w:name w:val="Heading 3 Char"/>
    <w:aliases w:val="Heading 3-FS10 Char,Heading 3-DPA Char,Heading 3-WCCSB Char,Heading 3-FS101 Char,Heading 3-DPA1 Char,Heading 3-WCCSB1 Char"/>
    <w:basedOn w:val="DefaultParagraphFont"/>
    <w:link w:val="Heading3"/>
    <w:semiHidden/>
    <w:rsid w:val="009078D9"/>
    <w:rPr>
      <w:rFonts w:ascii="Times New Roman" w:eastAsia="Times New Roman" w:hAnsi="Times New Roman" w:cs="Arial"/>
      <w:bCs/>
      <w:iCs/>
      <w:caps/>
      <w:sz w:val="22"/>
      <w:szCs w:val="26"/>
    </w:rPr>
  </w:style>
  <w:style w:type="character" w:customStyle="1" w:styleId="Heading4Char">
    <w:name w:val="Heading 4 Char"/>
    <w:aliases w:val="Heading 4-FS10 Char,Heading 4-DPA Char,Heading 4-WCCSB Char,Heading 4-FS101 Char,Heading 4-DPA1 Char,Heading 4-WCCSB1 Char"/>
    <w:basedOn w:val="DefaultParagraphFont"/>
    <w:link w:val="Heading4"/>
    <w:semiHidden/>
    <w:rsid w:val="009078D9"/>
    <w:rPr>
      <w:rFonts w:ascii="Times New Roman" w:eastAsia="Times New Roman" w:hAnsi="Times New Roman" w:cs="Arial"/>
      <w:iCs/>
      <w:sz w:val="22"/>
      <w:szCs w:val="28"/>
    </w:rPr>
  </w:style>
  <w:style w:type="character" w:customStyle="1" w:styleId="Heading5Char">
    <w:name w:val="Heading 5 Char"/>
    <w:aliases w:val="Heading 5-FS10 Char,Heading 5-DPA Char,Heading 5-WCCSB Char,Heading 5-FS101 Char,Heading 5-DPA1 Char,Heading 5-WCCSB1 Char"/>
    <w:basedOn w:val="DefaultParagraphFont"/>
    <w:link w:val="Heading5"/>
    <w:semiHidden/>
    <w:rsid w:val="009078D9"/>
    <w:rPr>
      <w:rFonts w:ascii="Times New Roman" w:eastAsia="Times New Roman" w:hAnsi="Times New Roman" w:cs="Arial"/>
      <w:bCs/>
      <w:sz w:val="22"/>
      <w:szCs w:val="26"/>
    </w:rPr>
  </w:style>
  <w:style w:type="character" w:customStyle="1" w:styleId="Heading6Char">
    <w:name w:val="Heading 6 Char"/>
    <w:aliases w:val="Heading 6-FS10 Char,Heading 6-DPA Char,Heading 6-WCCSB Char,Heading 6-FS101 Char,Heading 6-DPA1 Char,Heading 6-WCCSB1 Char"/>
    <w:basedOn w:val="DefaultParagraphFont"/>
    <w:link w:val="Heading6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7Char">
    <w:name w:val="Heading 7 Char"/>
    <w:aliases w:val="Heading 7-FS10 Char,Heading 7-DPA Char,Heading 7-WCCSB Char,Heading 7-FS101 Char,Heading 7-DPA1 Char,Heading 7-WCCSB1 Char"/>
    <w:basedOn w:val="DefaultParagraphFont"/>
    <w:link w:val="Heading7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8Char">
    <w:name w:val="Heading 8 Char"/>
    <w:aliases w:val="Heading 8-FS10 Char,Heading 8-DPA Char,Heading 8-WCCSB Char,Heading 8-FS101 Char,Heading 8-DPA1 Char,Heading 8-WCCSB1 Char"/>
    <w:basedOn w:val="DefaultParagraphFont"/>
    <w:link w:val="Heading8"/>
    <w:semiHidden/>
    <w:rsid w:val="009078D9"/>
    <w:rPr>
      <w:rFonts w:ascii="Times New Roman" w:eastAsia="Times New Roman" w:hAnsi="Times New Roman" w:cs="Arial"/>
      <w:iCs/>
      <w:sz w:val="22"/>
      <w:szCs w:val="22"/>
    </w:rPr>
  </w:style>
  <w:style w:type="character" w:customStyle="1" w:styleId="Heading9Char">
    <w:name w:val="Heading 9 Char"/>
    <w:aliases w:val="Heading 9-SWCC Char,Heading 9-DPA Char,Heading 9-WCCSB Char,Heading 9-SWCC1 Char,Heading 9-DPA1 Char,Heading 9-WCCSB1 Char"/>
    <w:basedOn w:val="DefaultParagraphFont"/>
    <w:link w:val="Heading9"/>
    <w:semiHidden/>
    <w:rsid w:val="009078D9"/>
    <w:rPr>
      <w:rFonts w:ascii="Times New Roman" w:eastAsia="Times New Roman" w:hAnsi="Times New Roman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FED6-9D9D-4BDC-A71B-341BD171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dc:description/>
  <cp:lastModifiedBy>Walker, Robert</cp:lastModifiedBy>
  <cp:revision>2</cp:revision>
  <cp:lastPrinted>2017-04-21T14:09:00Z</cp:lastPrinted>
  <dcterms:created xsi:type="dcterms:W3CDTF">2023-10-16T16:42:00Z</dcterms:created>
  <dcterms:modified xsi:type="dcterms:W3CDTF">2023-10-16T16:42:00Z</dcterms:modified>
</cp:coreProperties>
</file>